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4C11" w:rsidRPr="006D6661" w:rsidRDefault="00574C11" w:rsidP="006D6661">
      <w:pPr>
        <w:spacing w:line="312" w:lineRule="auto"/>
        <w:jc w:val="center"/>
        <w:outlineLvl w:val="0"/>
        <w:rPr>
          <w:rFonts w:ascii="Helvetica Neue" w:hAnsi="Helvetica Neue"/>
          <w:shd w:val="clear" w:color="auto" w:fill="FFFF00"/>
          <w:lang w:val="de-CH"/>
        </w:rPr>
      </w:pPr>
      <w:bookmarkStart w:id="0" w:name="_GoBack"/>
      <w:bookmarkEnd w:id="0"/>
      <w:r w:rsidRPr="006D6661">
        <w:rPr>
          <w:rFonts w:ascii="Helvetica Neue" w:hAnsi="Helvetica Neue"/>
          <w:b/>
          <w:sz w:val="36"/>
          <w:szCs w:val="36"/>
          <w:lang w:val="de-CH"/>
        </w:rPr>
        <w:t>Gold-Nanopartikel</w:t>
      </w:r>
    </w:p>
    <w:p w:rsidR="00574C11" w:rsidRPr="006D6661" w:rsidRDefault="00574C11">
      <w:pPr>
        <w:pStyle w:val="Te1"/>
        <w:rPr>
          <w:rFonts w:ascii="Helvetica Neue" w:hAnsi="Helvetica Neue"/>
          <w:shd w:val="clear" w:color="auto" w:fill="FFFF00"/>
          <w:lang w:val="de-CH"/>
        </w:rPr>
      </w:pPr>
    </w:p>
    <w:p w:rsidR="00574C11" w:rsidRPr="006D6661" w:rsidRDefault="00574C11">
      <w:pPr>
        <w:rPr>
          <w:rFonts w:ascii="Helvetica Neue" w:hAnsi="Helvetica Neue"/>
          <w:b/>
          <w:lang w:val="de-CH"/>
        </w:rPr>
      </w:pPr>
    </w:p>
    <w:p w:rsidR="00574C11" w:rsidRPr="006D6661" w:rsidRDefault="00574C11" w:rsidP="006D6661">
      <w:pPr>
        <w:spacing w:line="312" w:lineRule="auto"/>
        <w:jc w:val="both"/>
        <w:outlineLvl w:val="0"/>
        <w:rPr>
          <w:rFonts w:ascii="Helvetica Neue" w:hAnsi="Helvetica Neue"/>
          <w:lang w:val="de-CH"/>
        </w:rPr>
      </w:pPr>
      <w:r w:rsidRPr="006D6661">
        <w:rPr>
          <w:rFonts w:ascii="Helvetica Neue" w:hAnsi="Helvetica Neue"/>
          <w:b/>
          <w:lang w:val="de-CH"/>
        </w:rPr>
        <w:t>Einleitung</w:t>
      </w:r>
    </w:p>
    <w:p w:rsidR="00574C11" w:rsidRPr="006D6661" w:rsidRDefault="00574C11">
      <w:pPr>
        <w:pStyle w:val="Te1"/>
        <w:rPr>
          <w:rFonts w:ascii="Helvetica Neue" w:hAnsi="Helvetica Neue"/>
          <w:lang w:val="de-CH"/>
        </w:rPr>
      </w:pPr>
      <w:r w:rsidRPr="006D6661">
        <w:rPr>
          <w:rFonts w:ascii="Helvetica Neue" w:hAnsi="Helvetica Neue"/>
          <w:lang w:val="de-CH"/>
        </w:rPr>
        <w:t>Grosse und kleine Goldbarren haben dieselben physikalischen und chemischen Eigenschaften. Die Dichte, die Farbe, der Schmelz- und Siedepunkt hängen nicht von der Grösse ab. Bei sehr kleinen Partikeln gilt diese Aussage allerdings nicht mehr. Bei Nanopartikeln spielt die Grösse eine entscheidende Rolle, was in diesem Experiment demonstriert werden soll.</w:t>
      </w:r>
    </w:p>
    <w:p w:rsidR="00574C11" w:rsidRPr="006D6661" w:rsidRDefault="00574C11">
      <w:pPr>
        <w:spacing w:line="312" w:lineRule="auto"/>
        <w:jc w:val="both"/>
        <w:rPr>
          <w:rFonts w:ascii="Helvetica Neue" w:hAnsi="Helvetica Neue"/>
          <w:lang w:val="de-CH"/>
        </w:rPr>
      </w:pPr>
      <w:r w:rsidRPr="006D6661">
        <w:rPr>
          <w:rFonts w:ascii="Helvetica Neue" w:hAnsi="Helvetica Neue"/>
          <w:lang w:val="de-CH"/>
        </w:rPr>
        <w:t xml:space="preserve">Wenn Gold-Nanopartikel in Wasser dispergiert sind, erscheint die Flüssigkeit von rot über lila bis zu violett. Dies liegt daran, dass die Gold-Nanopartikel, je nach Grösse und Form, Licht von gewissen Wellenlängen absorbiert. Wir sehen dann den Teil des Lichts, der </w:t>
      </w:r>
      <w:proofErr w:type="gramStart"/>
      <w:r w:rsidRPr="006D6661">
        <w:rPr>
          <w:rFonts w:ascii="Helvetica Neue" w:hAnsi="Helvetica Neue"/>
          <w:lang w:val="de-CH"/>
        </w:rPr>
        <w:t>übrig bleibt</w:t>
      </w:r>
      <w:proofErr w:type="gramEnd"/>
      <w:r w:rsidRPr="006D6661">
        <w:rPr>
          <w:rFonts w:ascii="Helvetica Neue" w:hAnsi="Helvetica Neue"/>
          <w:lang w:val="de-CH"/>
        </w:rPr>
        <w:t>.</w:t>
      </w:r>
    </w:p>
    <w:p w:rsidR="00574C11" w:rsidRPr="006D6661" w:rsidRDefault="00574C11">
      <w:pPr>
        <w:spacing w:line="312" w:lineRule="auto"/>
        <w:jc w:val="both"/>
        <w:rPr>
          <w:rFonts w:ascii="Helvetica Neue" w:hAnsi="Helvetica Neue"/>
          <w:lang w:val="de-CH"/>
        </w:rPr>
      </w:pPr>
      <w:r w:rsidRPr="006D6661">
        <w:rPr>
          <w:rFonts w:ascii="Helvetica Neue" w:hAnsi="Helvetica Neue"/>
          <w:lang w:val="de-CH"/>
        </w:rPr>
        <w:t>Vermutlich wurden Gold-Nanopartikel bereits im 4. Jahrhundert angewendet. Damals wurden –womöglich aus Versehen – Gold-Nanopartikel in Glas eingearbeitet. Dies führt dazu, dass das Glas des Bechers (Lycurgus Kelch) beim Durchlicht rot erscheint. Interessanterweise erscheint er grün, wenn er angeleuchtet wird (dies ist dann reine Reflexion und hat im Prinzip nichts mit den Gold Nanopartikeln zu tun).</w:t>
      </w:r>
    </w:p>
    <w:p w:rsidR="00574C11" w:rsidRPr="006D6661" w:rsidRDefault="00574C11">
      <w:pPr>
        <w:pStyle w:val="Textkrper"/>
        <w:spacing w:after="0" w:line="312" w:lineRule="auto"/>
        <w:ind w:left="0"/>
        <w:jc w:val="both"/>
        <w:rPr>
          <w:rFonts w:ascii="Helvetica Neue" w:hAnsi="Helvetica Neue"/>
          <w:lang w:val="de-CH"/>
        </w:rPr>
      </w:pPr>
    </w:p>
    <w:p w:rsidR="00574C11" w:rsidRPr="006D6661" w:rsidRDefault="00574C11" w:rsidP="006D6661">
      <w:pPr>
        <w:pStyle w:val="Ti1"/>
        <w:outlineLvl w:val="0"/>
        <w:rPr>
          <w:rFonts w:ascii="Helvetica Neue" w:hAnsi="Helvetica Neue"/>
          <w:b/>
          <w:lang w:val="de-CH"/>
        </w:rPr>
      </w:pPr>
      <w:r w:rsidRPr="006D6661">
        <w:rPr>
          <w:rFonts w:ascii="Helvetica Neue" w:hAnsi="Helvetica Neue"/>
          <w:b/>
          <w:lang w:val="de-CH"/>
        </w:rPr>
        <w:t>Anwendung in Schwangerschaftstests</w:t>
      </w:r>
    </w:p>
    <w:p w:rsidR="00574C11" w:rsidRPr="006D6661" w:rsidRDefault="00574C11">
      <w:pPr>
        <w:pStyle w:val="Te1"/>
        <w:rPr>
          <w:rFonts w:ascii="Helvetica Neue" w:hAnsi="Helvetica Neue"/>
          <w:lang w:val="de-CH"/>
        </w:rPr>
      </w:pPr>
      <w:r w:rsidRPr="006D6661">
        <w:rPr>
          <w:rFonts w:ascii="Helvetica Neue" w:hAnsi="Helvetica Neue"/>
          <w:lang w:val="de-CH"/>
        </w:rPr>
        <w:t xml:space="preserve">Wenn eine Frau schwanger ist, produziert der Körper das Hormon </w:t>
      </w:r>
      <w:proofErr w:type="spellStart"/>
      <w:r w:rsidRPr="006D6661">
        <w:rPr>
          <w:rFonts w:ascii="Helvetica Neue" w:hAnsi="Helvetica Neue"/>
          <w:lang w:val="de-CH"/>
        </w:rPr>
        <w:t>hCG</w:t>
      </w:r>
      <w:proofErr w:type="spellEnd"/>
      <w:r w:rsidRPr="006D6661">
        <w:rPr>
          <w:rFonts w:ascii="Helvetica Neue" w:hAnsi="Helvetica Neue"/>
          <w:lang w:val="de-CH"/>
        </w:rPr>
        <w:t xml:space="preserve"> (</w:t>
      </w:r>
      <w:r w:rsidR="006F4CF4" w:rsidRPr="006D6661">
        <w:rPr>
          <w:rFonts w:ascii="Helvetica Neue" w:hAnsi="Helvetica Neue"/>
          <w:noProof/>
        </w:rPr>
        <w:drawing>
          <wp:inline distT="0" distB="0" distL="0" distR="0">
            <wp:extent cx="95250" cy="104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solidFill>
                      <a:srgbClr val="FFFFFF"/>
                    </a:solidFill>
                    <a:ln>
                      <a:noFill/>
                    </a:ln>
                  </pic:spPr>
                </pic:pic>
              </a:graphicData>
            </a:graphic>
          </wp:inline>
        </w:drawing>
      </w:r>
      <w:r w:rsidRPr="006D6661">
        <w:rPr>
          <w:rFonts w:ascii="Helvetica Neue" w:hAnsi="Helvetica Neue"/>
          <w:lang w:val="de-CH"/>
        </w:rPr>
        <w:t xml:space="preserve">). 14 Tage nach der Befruchtung gibt es bereits so viel </w:t>
      </w:r>
      <w:proofErr w:type="spellStart"/>
      <w:r w:rsidRPr="006D6661">
        <w:rPr>
          <w:rFonts w:ascii="Helvetica Neue" w:hAnsi="Helvetica Neue"/>
          <w:lang w:val="de-CH"/>
        </w:rPr>
        <w:t>hCG</w:t>
      </w:r>
      <w:proofErr w:type="spellEnd"/>
      <w:r w:rsidRPr="006D6661">
        <w:rPr>
          <w:rFonts w:ascii="Helvetica Neue" w:hAnsi="Helvetica Neue"/>
          <w:lang w:val="de-CH"/>
        </w:rPr>
        <w:t xml:space="preserve">, dass man das Hormon im Urin nachweisen kann. Der Schnelltest, den man in der Apotheke kaufen kann, funktioniert folgendermassen: </w:t>
      </w:r>
    </w:p>
    <w:p w:rsidR="006D6661" w:rsidRDefault="006D6661">
      <w:pPr>
        <w:pStyle w:val="Te1"/>
        <w:rPr>
          <w:rFonts w:ascii="Helvetica Neue" w:hAnsi="Helvetica Neue"/>
          <w:lang w:val="de-CH"/>
        </w:rPr>
      </w:pPr>
    </w:p>
    <w:p w:rsidR="00574C11" w:rsidRPr="006D6661" w:rsidRDefault="00574C11">
      <w:pPr>
        <w:pStyle w:val="Te1"/>
        <w:rPr>
          <w:rFonts w:ascii="Helvetica Neue" w:hAnsi="Helvetica Neue"/>
          <w:lang w:val="de-CH"/>
        </w:rPr>
      </w:pPr>
      <w:r w:rsidRPr="006D6661">
        <w:rPr>
          <w:rFonts w:ascii="Helvetica Neue" w:hAnsi="Helvetica Neue"/>
          <w:lang w:val="de-CH"/>
        </w:rPr>
        <w:t xml:space="preserve">Nachdem auf die eine Seite des Stäbchens uriniert wurde, läuft der Urin dem Stäbchen entlang. Verteilt auf dem Stäbchen befinden sich frei bewegliche Gold Nanopartikel mit einer ‚Andockstelle‘ für das </w:t>
      </w:r>
      <w:proofErr w:type="spellStart"/>
      <w:r w:rsidRPr="006D6661">
        <w:rPr>
          <w:rFonts w:ascii="Helvetica Neue" w:hAnsi="Helvetica Neue"/>
          <w:lang w:val="de-CH"/>
        </w:rPr>
        <w:t>hCG</w:t>
      </w:r>
      <w:proofErr w:type="spellEnd"/>
      <w:r w:rsidRPr="006D6661">
        <w:rPr>
          <w:rFonts w:ascii="Helvetica Neue" w:hAnsi="Helvetica Neue"/>
          <w:lang w:val="de-CH"/>
        </w:rPr>
        <w:t xml:space="preserve"> Hormon (</w:t>
      </w:r>
      <w:r w:rsidR="006F4CF4" w:rsidRPr="006D6661">
        <w:rPr>
          <w:rFonts w:ascii="Helvetica Neue" w:hAnsi="Helvetica Neue"/>
          <w:noProof/>
        </w:rPr>
        <w:drawing>
          <wp:inline distT="0" distB="0" distL="0" distR="0">
            <wp:extent cx="133350" cy="1524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solidFill>
                      <a:srgbClr val="FFFFFF"/>
                    </a:solidFill>
                    <a:ln>
                      <a:noFill/>
                    </a:ln>
                  </pic:spPr>
                </pic:pic>
              </a:graphicData>
            </a:graphic>
          </wp:inline>
        </w:drawing>
      </w:r>
      <w:r w:rsidRPr="006D6661">
        <w:rPr>
          <w:rFonts w:ascii="Helvetica Neue" w:hAnsi="Helvetica Neue"/>
          <w:lang w:val="de-CH"/>
        </w:rPr>
        <w:t xml:space="preserve">). </w:t>
      </w:r>
    </w:p>
    <w:p w:rsidR="00574C11" w:rsidRPr="006D6661" w:rsidRDefault="00574C11">
      <w:pPr>
        <w:pStyle w:val="Te1"/>
        <w:rPr>
          <w:rFonts w:ascii="Helvetica Neue" w:hAnsi="Helvetica Neue"/>
          <w:lang w:val="de-CH"/>
        </w:rPr>
      </w:pPr>
      <w:r w:rsidRPr="006D6661">
        <w:rPr>
          <w:rFonts w:ascii="Helvetica Neue" w:hAnsi="Helvetica Neue"/>
          <w:lang w:val="de-CH"/>
        </w:rPr>
        <w:t xml:space="preserve">Das </w:t>
      </w:r>
      <w:proofErr w:type="spellStart"/>
      <w:r w:rsidRPr="006D6661">
        <w:rPr>
          <w:rFonts w:ascii="Helvetica Neue" w:hAnsi="Helvetica Neue"/>
          <w:lang w:val="de-CH"/>
        </w:rPr>
        <w:t>hCG</w:t>
      </w:r>
      <w:proofErr w:type="spellEnd"/>
      <w:r w:rsidRPr="006D6661">
        <w:rPr>
          <w:rFonts w:ascii="Helvetica Neue" w:hAnsi="Helvetica Neue"/>
          <w:lang w:val="de-CH"/>
        </w:rPr>
        <w:t>-Hormon (</w:t>
      </w:r>
      <w:r w:rsidR="006F4CF4" w:rsidRPr="006D6661">
        <w:rPr>
          <w:rFonts w:ascii="Helvetica Neue" w:hAnsi="Helvetica Neue"/>
          <w:noProof/>
        </w:rPr>
        <w:drawing>
          <wp:inline distT="0" distB="0" distL="0" distR="0">
            <wp:extent cx="95250" cy="1047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solidFill>
                      <a:srgbClr val="FFFFFF"/>
                    </a:solidFill>
                    <a:ln>
                      <a:noFill/>
                    </a:ln>
                  </pic:spPr>
                </pic:pic>
              </a:graphicData>
            </a:graphic>
          </wp:inline>
        </w:drawing>
      </w:r>
      <w:r w:rsidRPr="006D6661">
        <w:rPr>
          <w:rFonts w:ascii="Helvetica Neue" w:hAnsi="Helvetica Neue"/>
          <w:lang w:val="de-CH"/>
        </w:rPr>
        <w:t>) bindet an die Gold-Nanopartikel (</w:t>
      </w:r>
      <w:r w:rsidR="006F4CF4" w:rsidRPr="006D6661">
        <w:rPr>
          <w:rFonts w:ascii="Helvetica Neue" w:hAnsi="Helvetica Neue"/>
          <w:noProof/>
        </w:rPr>
        <w:drawing>
          <wp:inline distT="0" distB="0" distL="0" distR="0">
            <wp:extent cx="133350" cy="1524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solidFill>
                      <a:srgbClr val="FFFFFF"/>
                    </a:solidFill>
                    <a:ln>
                      <a:noFill/>
                    </a:ln>
                  </pic:spPr>
                </pic:pic>
              </a:graphicData>
            </a:graphic>
          </wp:inline>
        </w:drawing>
      </w:r>
      <w:r w:rsidRPr="006D6661">
        <w:rPr>
          <w:rFonts w:ascii="Helvetica Neue" w:hAnsi="Helvetica Neue"/>
          <w:lang w:val="de-CH"/>
        </w:rPr>
        <w:t xml:space="preserve">).  </w:t>
      </w:r>
      <w:r w:rsidR="006F4CF4" w:rsidRPr="006D6661">
        <w:rPr>
          <w:rFonts w:ascii="Helvetica Neue" w:hAnsi="Helvetica Neue"/>
          <w:noProof/>
        </w:rPr>
        <w:drawing>
          <wp:inline distT="0" distB="0" distL="0" distR="0">
            <wp:extent cx="200025" cy="1809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solidFill>
                      <a:srgbClr val="FFFFFF"/>
                    </a:solidFill>
                    <a:ln>
                      <a:noFill/>
                    </a:ln>
                  </pic:spPr>
                </pic:pic>
              </a:graphicData>
            </a:graphic>
          </wp:inline>
        </w:drawing>
      </w:r>
      <w:r w:rsidRPr="006D6661">
        <w:rPr>
          <w:rFonts w:ascii="Helvetica Neue" w:hAnsi="Helvetica Neue"/>
          <w:lang w:val="de-CH"/>
        </w:rPr>
        <w:t xml:space="preserve"> wandert bis zur Anzeigefläche und passt auf die Andockstellen (Y). Resultat: In der ersten Zone wird ein Balken sichtbar, wenn eine Schwangerschaft vorliegt.</w:t>
      </w:r>
    </w:p>
    <w:p w:rsidR="00574C11" w:rsidRPr="006D6661" w:rsidRDefault="00574C11">
      <w:pPr>
        <w:pStyle w:val="Te1"/>
        <w:rPr>
          <w:rFonts w:ascii="Helvetica Neue" w:hAnsi="Helvetica Neue"/>
          <w:lang w:val="de-CH"/>
        </w:rPr>
      </w:pPr>
      <w:r w:rsidRPr="006D6661">
        <w:rPr>
          <w:rFonts w:ascii="Helvetica Neue" w:hAnsi="Helvetica Neue"/>
          <w:lang w:val="de-CH"/>
        </w:rPr>
        <w:t xml:space="preserve">Gold-Nanopartikel ohne </w:t>
      </w:r>
      <w:proofErr w:type="spellStart"/>
      <w:r w:rsidRPr="006D6661">
        <w:rPr>
          <w:rFonts w:ascii="Helvetica Neue" w:hAnsi="Helvetica Neue"/>
          <w:lang w:val="de-CH"/>
        </w:rPr>
        <w:t>hCG</w:t>
      </w:r>
      <w:proofErr w:type="spellEnd"/>
      <w:r w:rsidRPr="006D6661">
        <w:rPr>
          <w:rFonts w:ascii="Helvetica Neue" w:hAnsi="Helvetica Neue"/>
          <w:lang w:val="de-CH"/>
        </w:rPr>
        <w:t xml:space="preserve">-Hormon passen nicht an den Andockstellen (Y), fliessen weiter und werden erst in der zweiten Zone aufgehalten, die mit </w:t>
      </w:r>
      <w:r w:rsidRPr="006D6661">
        <w:rPr>
          <w:rFonts w:ascii="DejaVu Sans" w:eastAsia="DejaVu Sans" w:hAnsi="DejaVu Sans" w:cs="DejaVu Sans"/>
          <w:lang w:val="de-CH"/>
        </w:rPr>
        <w:t>⚲</w:t>
      </w:r>
      <w:r w:rsidRPr="006D6661">
        <w:rPr>
          <w:rFonts w:ascii="Helvetica Neue" w:hAnsi="Helvetica Neue"/>
          <w:lang w:val="de-CH"/>
        </w:rPr>
        <w:t xml:space="preserve"> versehen ist. In der zweiten Zone wird immer ein Balken sichtbar. Dieser Balken dient als Kontrolle und zeigt, dass der Teststreifen einwandfrei funktioniert.</w:t>
      </w:r>
    </w:p>
    <w:p w:rsidR="00574C11" w:rsidRPr="006D6661" w:rsidRDefault="00574C11">
      <w:pPr>
        <w:pStyle w:val="Te1"/>
        <w:rPr>
          <w:rFonts w:ascii="Helvetica Neue" w:hAnsi="Helvetica Neue"/>
          <w:shd w:val="clear" w:color="auto" w:fill="00FFFF"/>
          <w:lang w:val="de-CH"/>
        </w:rPr>
      </w:pPr>
      <w:r w:rsidRPr="006D6661">
        <w:rPr>
          <w:rFonts w:ascii="Helvetica Neue" w:hAnsi="Helvetica Neue"/>
          <w:lang w:val="de-CH"/>
        </w:rPr>
        <w:t>Die Farbe hängt von der Grösse der Gold-Nanopartikel ab. Im Test werden Partikel in einer Grösse verwendet, die rot erscheint. Deshalb entstehen in den Anzeigezonen rot gefärbte Balken.</w:t>
      </w:r>
    </w:p>
    <w:p w:rsidR="00574C11" w:rsidRPr="006D6661" w:rsidRDefault="00574C11">
      <w:pPr>
        <w:pStyle w:val="Te1"/>
        <w:rPr>
          <w:rFonts w:ascii="Helvetica Neue" w:hAnsi="Helvetica Neue"/>
          <w:shd w:val="clear" w:color="auto" w:fill="00FFFF"/>
          <w:lang w:val="de-CH"/>
        </w:rPr>
      </w:pPr>
    </w:p>
    <w:p w:rsidR="00574C11" w:rsidRPr="006D6661" w:rsidRDefault="006F4CF4">
      <w:pPr>
        <w:spacing w:line="312" w:lineRule="auto"/>
        <w:jc w:val="both"/>
        <w:rPr>
          <w:rFonts w:ascii="Helvetica Neue" w:hAnsi="Helvetica Neue"/>
          <w:lang w:val="de-CH"/>
        </w:rPr>
      </w:pPr>
      <w:r w:rsidRPr="006D6661">
        <w:rPr>
          <w:rFonts w:ascii="Helvetica Neue" w:hAnsi="Helvetica Neue"/>
          <w:noProof/>
        </w:rPr>
        <w:lastRenderedPageBreak/>
        <w:drawing>
          <wp:inline distT="0" distB="0" distL="0" distR="0">
            <wp:extent cx="5753100" cy="80295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753100" cy="8029575"/>
                    </a:xfrm>
                    <a:prstGeom prst="rect">
                      <a:avLst/>
                    </a:prstGeom>
                    <a:solidFill>
                      <a:srgbClr val="FFFFFF"/>
                    </a:solidFill>
                    <a:ln>
                      <a:noFill/>
                    </a:ln>
                  </pic:spPr>
                </pic:pic>
              </a:graphicData>
            </a:graphic>
          </wp:inline>
        </w:drawing>
      </w:r>
    </w:p>
    <w:p w:rsidR="00574C11" w:rsidRPr="006D6661" w:rsidRDefault="00574C11">
      <w:pPr>
        <w:spacing w:line="312" w:lineRule="auto"/>
        <w:jc w:val="both"/>
        <w:rPr>
          <w:rFonts w:ascii="Helvetica Neue" w:hAnsi="Helvetica Neue"/>
          <w:lang w:val="de-CH"/>
        </w:rPr>
      </w:pPr>
    </w:p>
    <w:p w:rsidR="00574C11" w:rsidRPr="006D6661" w:rsidRDefault="006D6661">
      <w:pPr>
        <w:spacing w:line="312" w:lineRule="auto"/>
        <w:jc w:val="both"/>
        <w:rPr>
          <w:rFonts w:ascii="Helvetica Neue" w:hAnsi="Helvetica Neue"/>
          <w:sz w:val="16"/>
          <w:szCs w:val="16"/>
          <w:lang w:val="de-CH"/>
        </w:rPr>
      </w:pPr>
      <w:r w:rsidRPr="006D6661">
        <w:rPr>
          <w:rFonts w:ascii="Helvetica Neue" w:hAnsi="Helvetica Neue"/>
          <w:sz w:val="16"/>
          <w:szCs w:val="16"/>
          <w:lang w:val="de-CH"/>
        </w:rPr>
        <w:t xml:space="preserve">Bei der 'Dockstelle' für das </w:t>
      </w:r>
      <w:proofErr w:type="spellStart"/>
      <w:r w:rsidRPr="006D6661">
        <w:rPr>
          <w:rFonts w:ascii="Helvetica Neue" w:hAnsi="Helvetica Neue"/>
          <w:sz w:val="16"/>
          <w:szCs w:val="16"/>
          <w:lang w:val="de-CH"/>
        </w:rPr>
        <w:t>hcG</w:t>
      </w:r>
      <w:proofErr w:type="spellEnd"/>
      <w:r w:rsidRPr="006D6661">
        <w:rPr>
          <w:rFonts w:ascii="Helvetica Neue" w:hAnsi="Helvetica Neue"/>
          <w:sz w:val="16"/>
          <w:szCs w:val="16"/>
          <w:lang w:val="de-CH"/>
        </w:rPr>
        <w:t xml:space="preserve"> Hormon und den Andockstellen auf der Streifenoberfläche (Y) handelt es sich um Antikörper. </w:t>
      </w:r>
    </w:p>
    <w:p w:rsidR="00574C11" w:rsidRPr="006D6661" w:rsidRDefault="00574C11">
      <w:pPr>
        <w:spacing w:line="312" w:lineRule="auto"/>
        <w:jc w:val="both"/>
        <w:rPr>
          <w:rFonts w:ascii="Helvetica Neue" w:hAnsi="Helvetica Neue"/>
          <w:lang w:val="de-CH"/>
        </w:rPr>
      </w:pPr>
    </w:p>
    <w:p w:rsidR="00574C11" w:rsidRPr="006D6661" w:rsidRDefault="00574C11">
      <w:pPr>
        <w:spacing w:line="312" w:lineRule="auto"/>
        <w:jc w:val="both"/>
        <w:rPr>
          <w:rFonts w:ascii="Helvetica Neue" w:hAnsi="Helvetica Neue"/>
          <w:lang w:val="de-CH"/>
        </w:rPr>
      </w:pPr>
    </w:p>
    <w:p w:rsidR="00574C11" w:rsidRPr="006D6661" w:rsidRDefault="00574C11">
      <w:pPr>
        <w:spacing w:line="312" w:lineRule="auto"/>
        <w:jc w:val="both"/>
        <w:rPr>
          <w:rFonts w:ascii="Helvetica Neue" w:hAnsi="Helvetica Neue"/>
          <w:lang w:val="de-CH"/>
        </w:rPr>
      </w:pPr>
    </w:p>
    <w:p w:rsidR="00574C11" w:rsidRPr="006D6661" w:rsidRDefault="00574C11">
      <w:pPr>
        <w:spacing w:line="312" w:lineRule="auto"/>
        <w:jc w:val="both"/>
        <w:rPr>
          <w:rFonts w:ascii="Helvetica Neue" w:hAnsi="Helvetica Neue"/>
          <w:lang w:val="de-CH"/>
        </w:rPr>
      </w:pPr>
    </w:p>
    <w:p w:rsidR="00574C11" w:rsidRPr="006D6661" w:rsidRDefault="00574C11" w:rsidP="006D6661">
      <w:pPr>
        <w:spacing w:line="312" w:lineRule="auto"/>
        <w:jc w:val="both"/>
        <w:outlineLvl w:val="0"/>
        <w:rPr>
          <w:rFonts w:ascii="Helvetica Neue" w:hAnsi="Helvetica Neue"/>
          <w:b/>
          <w:bCs/>
          <w:lang w:val="de-CH"/>
        </w:rPr>
      </w:pPr>
      <w:r w:rsidRPr="006D6661">
        <w:rPr>
          <w:rFonts w:ascii="Helvetica Neue" w:hAnsi="Helvetica Neue"/>
          <w:b/>
          <w:bCs/>
          <w:lang w:val="de-CH"/>
        </w:rPr>
        <w:lastRenderedPageBreak/>
        <w:t>Anleitung</w:t>
      </w:r>
    </w:p>
    <w:p w:rsidR="00574C11" w:rsidRPr="006D6661" w:rsidRDefault="00574C11">
      <w:pPr>
        <w:spacing w:line="312" w:lineRule="auto"/>
        <w:jc w:val="both"/>
        <w:rPr>
          <w:rFonts w:ascii="Helvetica Neue" w:hAnsi="Helvetica Neue"/>
          <w:b/>
          <w:bCs/>
          <w:lang w:val="de-CH"/>
        </w:rPr>
      </w:pPr>
    </w:p>
    <w:p w:rsidR="00574C11" w:rsidRPr="006D6661" w:rsidRDefault="00574C11" w:rsidP="006D6661">
      <w:pPr>
        <w:spacing w:line="312" w:lineRule="auto"/>
        <w:jc w:val="both"/>
        <w:outlineLvl w:val="0"/>
        <w:rPr>
          <w:rFonts w:ascii="Helvetica Neue" w:hAnsi="Helvetica Neue"/>
          <w:lang w:val="de-CH"/>
        </w:rPr>
      </w:pPr>
      <w:r w:rsidRPr="006D6661">
        <w:rPr>
          <w:rFonts w:ascii="Helvetica Neue" w:hAnsi="Helvetica Neue"/>
          <w:b/>
          <w:bCs/>
          <w:lang w:val="de-CH"/>
        </w:rPr>
        <w:t>Sicherheit</w:t>
      </w:r>
    </w:p>
    <w:p w:rsidR="00574C11" w:rsidRPr="006D6661" w:rsidRDefault="00574C11">
      <w:pPr>
        <w:spacing w:line="312" w:lineRule="auto"/>
        <w:jc w:val="both"/>
        <w:rPr>
          <w:rFonts w:ascii="Helvetica Neue" w:hAnsi="Helvetica Neue"/>
          <w:lang w:val="de-CH"/>
        </w:rPr>
      </w:pPr>
      <w:r w:rsidRPr="006D6661">
        <w:rPr>
          <w:rFonts w:ascii="Helvetica Neue" w:hAnsi="Helvetica Neue"/>
          <w:lang w:val="de-CH"/>
        </w:rPr>
        <w:t>Ziehen Sie die Schutzbrille und den Labormantel an. Sollten Sie in direkten Kontakt mit den Chemikalien kommen, waschen Sie die betroffene Stelle sofort 2 Minuten lang unter dem laufenden Wasserhahn.</w:t>
      </w:r>
      <w:r w:rsidR="006F4CF4" w:rsidRPr="006D6661">
        <w:rPr>
          <w:rFonts w:ascii="Helvetica Neue" w:hAnsi="Helvetica Neue"/>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27305</wp:posOffset>
            </wp:positionV>
            <wp:extent cx="535940" cy="535940"/>
            <wp:effectExtent l="0" t="0" r="0" b="0"/>
            <wp:wrapSquare wrapText="bothSides"/>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535940" cy="535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74C11" w:rsidRPr="006D6661" w:rsidRDefault="00574C11">
      <w:pPr>
        <w:spacing w:line="312" w:lineRule="auto"/>
        <w:jc w:val="both"/>
        <w:rPr>
          <w:rFonts w:ascii="Helvetica Neue" w:hAnsi="Helvetica Neue"/>
          <w:lang w:val="de-CH"/>
        </w:rPr>
      </w:pPr>
    </w:p>
    <w:p w:rsidR="00574C11" w:rsidRPr="006D6661" w:rsidRDefault="00574C11">
      <w:pPr>
        <w:spacing w:line="312" w:lineRule="auto"/>
        <w:jc w:val="both"/>
        <w:rPr>
          <w:rFonts w:ascii="Helvetica Neue" w:hAnsi="Helvetica Neue"/>
          <w:lang w:val="de-CH"/>
        </w:rPr>
      </w:pPr>
    </w:p>
    <w:p w:rsidR="00574C11" w:rsidRPr="006D6661" w:rsidRDefault="00574C11" w:rsidP="006D6661">
      <w:pPr>
        <w:spacing w:line="312" w:lineRule="auto"/>
        <w:jc w:val="both"/>
        <w:outlineLvl w:val="0"/>
        <w:rPr>
          <w:rFonts w:ascii="Helvetica Neue" w:hAnsi="Helvetica Neue"/>
          <w:lang w:val="de-CH"/>
        </w:rPr>
      </w:pPr>
      <w:r w:rsidRPr="006D6661">
        <w:rPr>
          <w:rFonts w:ascii="Helvetica Neue" w:hAnsi="Helvetica Neue"/>
          <w:b/>
          <w:bCs/>
          <w:lang w:val="de-CH"/>
        </w:rPr>
        <w:t>Material &amp; Chemikalien</w:t>
      </w:r>
    </w:p>
    <w:p w:rsidR="00574C11" w:rsidRPr="006D6661" w:rsidRDefault="00574C11">
      <w:pPr>
        <w:pStyle w:val="Te2"/>
      </w:pPr>
      <w:r w:rsidRPr="006D6661">
        <w:t xml:space="preserve">Allgemein: Pipette für 10.0 </w:t>
      </w:r>
      <w:proofErr w:type="spellStart"/>
      <w:r w:rsidRPr="006D6661">
        <w:t>mL</w:t>
      </w:r>
      <w:proofErr w:type="spellEnd"/>
      <w:r w:rsidRPr="006D6661">
        <w:t xml:space="preserve">, Siedesteine, Natriumcitrat </w:t>
      </w:r>
      <w:proofErr w:type="spellStart"/>
      <w:r w:rsidRPr="006D6661">
        <w:t>Dihydrat</w:t>
      </w:r>
      <w:proofErr w:type="spellEnd"/>
      <w:r w:rsidRPr="006D6661">
        <w:t>, 0.01 %</w:t>
      </w:r>
      <w:proofErr w:type="spellStart"/>
      <w:r w:rsidRPr="006D6661">
        <w:t>ige</w:t>
      </w:r>
      <w:proofErr w:type="spellEnd"/>
      <w:r w:rsidRPr="006D6661">
        <w:t xml:space="preserve"> HAuCl</w:t>
      </w:r>
      <w:r w:rsidRPr="006D6661">
        <w:rPr>
          <w:vertAlign w:val="subscript"/>
        </w:rPr>
        <w:t>4</w:t>
      </w:r>
      <w:r w:rsidRPr="006D6661">
        <w:t>-Lösung in Wasser (100 mg HAuCl</w:t>
      </w:r>
      <w:r w:rsidRPr="006D6661">
        <w:rPr>
          <w:vertAlign w:val="subscript"/>
        </w:rPr>
        <w:t>4</w:t>
      </w:r>
      <w:r w:rsidRPr="006D6661">
        <w:t xml:space="preserve"> auf 1000 g H</w:t>
      </w:r>
      <w:r w:rsidRPr="006D6661">
        <w:rPr>
          <w:vertAlign w:val="subscript"/>
        </w:rPr>
        <w:t>2</w:t>
      </w:r>
      <w:r w:rsidRPr="006D6661">
        <w:t>O)</w:t>
      </w:r>
    </w:p>
    <w:p w:rsidR="00574C11" w:rsidRPr="006D6661" w:rsidRDefault="00574C11">
      <w:pPr>
        <w:pStyle w:val="Te2"/>
      </w:pPr>
    </w:p>
    <w:p w:rsidR="00574C11" w:rsidRPr="006D6661" w:rsidRDefault="00574C11">
      <w:pPr>
        <w:pStyle w:val="Te2"/>
      </w:pPr>
      <w:r w:rsidRPr="006D6661">
        <w:t xml:space="preserve">pro Gruppe: Becherglas 100 ml, grosses Reagenzglas, Holzklammer, Heissluftföhn oder Bunsenbrenner, Wegwerf-Pipette </w:t>
      </w:r>
    </w:p>
    <w:p w:rsidR="00574C11" w:rsidRPr="006D6661" w:rsidRDefault="00574C11">
      <w:pPr>
        <w:spacing w:line="312" w:lineRule="auto"/>
        <w:jc w:val="both"/>
        <w:rPr>
          <w:rFonts w:ascii="Helvetica Neue" w:hAnsi="Helvetica Neue"/>
          <w:lang w:val="de-CH"/>
        </w:rPr>
      </w:pPr>
    </w:p>
    <w:p w:rsidR="00574C11" w:rsidRPr="006D6661" w:rsidRDefault="00574C11" w:rsidP="006D6661">
      <w:pPr>
        <w:spacing w:line="312" w:lineRule="auto"/>
        <w:jc w:val="both"/>
        <w:outlineLvl w:val="0"/>
        <w:rPr>
          <w:rFonts w:ascii="Helvetica Neue" w:hAnsi="Helvetica Neue"/>
          <w:lang w:val="de-CH"/>
        </w:rPr>
      </w:pPr>
      <w:r w:rsidRPr="006D6661">
        <w:rPr>
          <w:rFonts w:ascii="Helvetica Neue" w:hAnsi="Helvetica Neue"/>
          <w:b/>
          <w:bCs/>
          <w:lang w:val="de-CH"/>
        </w:rPr>
        <w:t>Vorgehen</w:t>
      </w:r>
    </w:p>
    <w:p w:rsidR="00574C11" w:rsidRPr="006D6661" w:rsidRDefault="00574C11">
      <w:pPr>
        <w:pStyle w:val="Listenabsatz2"/>
        <w:numPr>
          <w:ilvl w:val="0"/>
          <w:numId w:val="3"/>
        </w:numPr>
        <w:spacing w:line="312" w:lineRule="auto"/>
        <w:ind w:left="284" w:hanging="284"/>
        <w:jc w:val="both"/>
        <w:rPr>
          <w:rFonts w:ascii="Helvetica Neue" w:hAnsi="Helvetica Neue"/>
          <w:lang w:val="de-CH"/>
        </w:rPr>
      </w:pPr>
      <w:r w:rsidRPr="006D6661">
        <w:rPr>
          <w:rFonts w:ascii="Helvetica Neue" w:hAnsi="Helvetica Neue"/>
          <w:lang w:val="de-CH"/>
        </w:rPr>
        <w:t xml:space="preserve">Stellen Sie die </w:t>
      </w:r>
      <w:proofErr w:type="spellStart"/>
      <w:r w:rsidRPr="006D6661">
        <w:rPr>
          <w:rFonts w:ascii="Helvetica Neue" w:hAnsi="Helvetica Neue"/>
          <w:lang w:val="de-CH"/>
        </w:rPr>
        <w:t>Citratlösung</w:t>
      </w:r>
      <w:proofErr w:type="spellEnd"/>
      <w:r w:rsidRPr="006D6661">
        <w:rPr>
          <w:rFonts w:ascii="Helvetica Neue" w:hAnsi="Helvetica Neue"/>
          <w:lang w:val="de-CH"/>
        </w:rPr>
        <w:t xml:space="preserve"> (570 mg Natriumcitrat </w:t>
      </w:r>
      <w:proofErr w:type="spellStart"/>
      <w:r w:rsidRPr="006D6661">
        <w:rPr>
          <w:rFonts w:ascii="Helvetica Neue" w:hAnsi="Helvetica Neue"/>
          <w:lang w:val="de-CH"/>
        </w:rPr>
        <w:t>Dihydrat</w:t>
      </w:r>
      <w:proofErr w:type="spellEnd"/>
      <w:r w:rsidRPr="006D6661">
        <w:rPr>
          <w:rFonts w:ascii="Helvetica Neue" w:hAnsi="Helvetica Neue"/>
          <w:lang w:val="de-CH"/>
        </w:rPr>
        <w:t xml:space="preserve"> auf 50 </w:t>
      </w:r>
      <w:proofErr w:type="spellStart"/>
      <w:r w:rsidRPr="006D6661">
        <w:rPr>
          <w:rFonts w:ascii="Helvetica Neue" w:hAnsi="Helvetica Neue"/>
          <w:lang w:val="de-CH"/>
        </w:rPr>
        <w:t>mL</w:t>
      </w:r>
      <w:proofErr w:type="spellEnd"/>
      <w:r w:rsidRPr="006D6661">
        <w:rPr>
          <w:rFonts w:ascii="Helvetica Neue" w:hAnsi="Helvetica Neue"/>
          <w:lang w:val="de-CH"/>
        </w:rPr>
        <w:t xml:space="preserve"> H</w:t>
      </w:r>
      <w:r w:rsidRPr="006D6661">
        <w:rPr>
          <w:rFonts w:ascii="Helvetica Neue" w:hAnsi="Helvetica Neue"/>
          <w:vertAlign w:val="subscript"/>
          <w:lang w:val="de-CH"/>
        </w:rPr>
        <w:t>2</w:t>
      </w:r>
      <w:r w:rsidRPr="006D6661">
        <w:rPr>
          <w:rFonts w:ascii="Helvetica Neue" w:hAnsi="Helvetica Neue"/>
          <w:lang w:val="de-CH"/>
        </w:rPr>
        <w:t>O) in einem Becherglas her.</w:t>
      </w:r>
    </w:p>
    <w:p w:rsidR="00574C11" w:rsidRPr="006D6661" w:rsidRDefault="00574C11">
      <w:pPr>
        <w:pStyle w:val="Listenabsatz2"/>
        <w:numPr>
          <w:ilvl w:val="0"/>
          <w:numId w:val="3"/>
        </w:numPr>
        <w:spacing w:line="312" w:lineRule="auto"/>
        <w:ind w:left="284" w:hanging="284"/>
        <w:jc w:val="both"/>
        <w:rPr>
          <w:rFonts w:ascii="Helvetica Neue" w:hAnsi="Helvetica Neue"/>
          <w:lang w:val="de-CH"/>
        </w:rPr>
      </w:pPr>
      <w:r w:rsidRPr="006D6661">
        <w:rPr>
          <w:rFonts w:ascii="Helvetica Neue" w:hAnsi="Helvetica Neue"/>
          <w:lang w:val="de-CH"/>
        </w:rPr>
        <w:t xml:space="preserve">Geben Sie ein Siedestein und 10 </w:t>
      </w:r>
      <w:proofErr w:type="spellStart"/>
      <w:r w:rsidRPr="006D6661">
        <w:rPr>
          <w:rFonts w:ascii="Helvetica Neue" w:hAnsi="Helvetica Neue"/>
          <w:lang w:val="de-CH"/>
        </w:rPr>
        <w:t>mL</w:t>
      </w:r>
      <w:proofErr w:type="spellEnd"/>
      <w:r w:rsidRPr="006D6661">
        <w:rPr>
          <w:rFonts w:ascii="Helvetica Neue" w:hAnsi="Helvetica Neue"/>
          <w:lang w:val="de-CH"/>
        </w:rPr>
        <w:t xml:space="preserve"> der bereitgestellten Goldlösung (0.01 %) in ein grosses Reagenzglas.</w:t>
      </w:r>
    </w:p>
    <w:p w:rsidR="00574C11" w:rsidRPr="006D6661" w:rsidRDefault="00574C11">
      <w:pPr>
        <w:pStyle w:val="Listenabsatz2"/>
        <w:numPr>
          <w:ilvl w:val="0"/>
          <w:numId w:val="3"/>
        </w:numPr>
        <w:spacing w:line="312" w:lineRule="auto"/>
        <w:ind w:left="284" w:hanging="284"/>
        <w:jc w:val="both"/>
        <w:rPr>
          <w:rFonts w:ascii="Helvetica Neue" w:hAnsi="Helvetica Neue"/>
          <w:lang w:val="de-CH"/>
        </w:rPr>
      </w:pPr>
      <w:r w:rsidRPr="006D6661">
        <w:rPr>
          <w:rFonts w:ascii="Helvetica Neue" w:hAnsi="Helvetica Neue"/>
          <w:lang w:val="de-CH"/>
        </w:rPr>
        <w:t>Halten Sie das Reagenzglas mittels Holzklammer mehrmals kurz in die Flamme des Bunsenbrenners bis die Lösung zu sieden beginnt. Die Lehrperson demonstriert, wie das am besten gelingt.</w:t>
      </w:r>
    </w:p>
    <w:p w:rsidR="00574C11" w:rsidRPr="006D6661" w:rsidRDefault="00574C11">
      <w:pPr>
        <w:pStyle w:val="Listenabsatz2"/>
        <w:numPr>
          <w:ilvl w:val="0"/>
          <w:numId w:val="3"/>
        </w:numPr>
        <w:spacing w:line="312" w:lineRule="auto"/>
        <w:ind w:left="284" w:hanging="284"/>
        <w:jc w:val="both"/>
        <w:rPr>
          <w:rFonts w:ascii="Helvetica Neue" w:hAnsi="Helvetica Neue"/>
          <w:lang w:val="de-CH"/>
        </w:rPr>
      </w:pPr>
      <w:r w:rsidRPr="006D6661">
        <w:rPr>
          <w:rFonts w:ascii="Helvetica Neue" w:hAnsi="Helvetica Neue"/>
          <w:lang w:val="de-CH"/>
        </w:rPr>
        <w:t xml:space="preserve">Fügen Sie nun entweder 1, 2, 3, 4, 6, oder 8 Tropfen der </w:t>
      </w:r>
      <w:proofErr w:type="spellStart"/>
      <w:r w:rsidRPr="006D6661">
        <w:rPr>
          <w:rFonts w:ascii="Helvetica Neue" w:hAnsi="Helvetica Neue"/>
          <w:lang w:val="de-CH"/>
        </w:rPr>
        <w:t>Citratlösung</w:t>
      </w:r>
      <w:proofErr w:type="spellEnd"/>
      <w:r w:rsidRPr="006D6661">
        <w:rPr>
          <w:rFonts w:ascii="Helvetica Neue" w:hAnsi="Helvetica Neue"/>
          <w:lang w:val="de-CH"/>
        </w:rPr>
        <w:t xml:space="preserve"> hinzu (1 Tropfen entspricht ca. 50 </w:t>
      </w:r>
      <w:proofErr w:type="spellStart"/>
      <w:r w:rsidRPr="006D6661">
        <w:rPr>
          <w:rFonts w:ascii="Helvetica Neue" w:hAnsi="Helvetica Neue"/>
          <w:lang w:val="de-CH"/>
        </w:rPr>
        <w:t>μL</w:t>
      </w:r>
      <w:proofErr w:type="spellEnd"/>
      <w:r w:rsidRPr="006D6661">
        <w:rPr>
          <w:rFonts w:ascii="Helvetica Neue" w:hAnsi="Helvetica Neue"/>
          <w:lang w:val="de-CH"/>
        </w:rPr>
        <w:t>).</w:t>
      </w:r>
    </w:p>
    <w:p w:rsidR="00574C11" w:rsidRPr="006D6661" w:rsidRDefault="00574C11">
      <w:pPr>
        <w:pStyle w:val="Listenabsatz2"/>
        <w:numPr>
          <w:ilvl w:val="0"/>
          <w:numId w:val="3"/>
        </w:numPr>
        <w:spacing w:line="312" w:lineRule="auto"/>
        <w:ind w:left="284" w:hanging="284"/>
        <w:jc w:val="both"/>
        <w:rPr>
          <w:rFonts w:ascii="Helvetica Neue" w:hAnsi="Helvetica Neue"/>
          <w:lang w:val="de-CH"/>
        </w:rPr>
      </w:pPr>
      <w:r w:rsidRPr="006D6661">
        <w:rPr>
          <w:rFonts w:ascii="Helvetica Neue" w:hAnsi="Helvetica Neue"/>
          <w:lang w:val="de-CH"/>
        </w:rPr>
        <w:t xml:space="preserve">Erhitzen Sie Mischung erneut mit dem </w:t>
      </w:r>
      <w:r w:rsidR="006D6661">
        <w:rPr>
          <w:rFonts w:ascii="Helvetica Neue" w:hAnsi="Helvetica Neue"/>
          <w:lang w:val="de-CH"/>
        </w:rPr>
        <w:t>Bunsenbrenner und lassen Sie diese</w:t>
      </w:r>
      <w:r w:rsidRPr="006D6661">
        <w:rPr>
          <w:rFonts w:ascii="Helvetica Neue" w:hAnsi="Helvetica Neue"/>
          <w:lang w:val="de-CH"/>
        </w:rPr>
        <w:t xml:space="preserve"> 5 min kochen.</w:t>
      </w:r>
    </w:p>
    <w:p w:rsidR="006D6661" w:rsidRDefault="006D6661">
      <w:pPr>
        <w:pStyle w:val="Listenabsatz2"/>
        <w:spacing w:line="312" w:lineRule="auto"/>
        <w:ind w:left="284"/>
        <w:jc w:val="both"/>
        <w:rPr>
          <w:rFonts w:ascii="Helvetica Neue" w:hAnsi="Helvetica Neue"/>
          <w:lang w:val="de-CH"/>
        </w:rPr>
      </w:pPr>
    </w:p>
    <w:p w:rsidR="006D6661" w:rsidRDefault="006D6661">
      <w:pPr>
        <w:pStyle w:val="Listenabsatz2"/>
        <w:spacing w:line="312" w:lineRule="auto"/>
        <w:ind w:left="284"/>
        <w:jc w:val="both"/>
        <w:rPr>
          <w:rFonts w:ascii="Helvetica Neue" w:hAnsi="Helvetica Neue"/>
          <w:lang w:val="de-CH"/>
        </w:rPr>
      </w:pPr>
    </w:p>
    <w:p w:rsidR="006D6661" w:rsidRDefault="006D6661">
      <w:pPr>
        <w:pStyle w:val="Listenabsatz2"/>
        <w:spacing w:line="312" w:lineRule="auto"/>
        <w:ind w:left="284"/>
        <w:jc w:val="both"/>
        <w:rPr>
          <w:rFonts w:ascii="Helvetica Neue" w:hAnsi="Helvetica Neue"/>
          <w:lang w:val="de-CH"/>
        </w:rPr>
      </w:pPr>
    </w:p>
    <w:p w:rsidR="006D6661" w:rsidRDefault="006D6661">
      <w:pPr>
        <w:pStyle w:val="Listenabsatz2"/>
        <w:spacing w:line="312" w:lineRule="auto"/>
        <w:ind w:left="284"/>
        <w:jc w:val="both"/>
        <w:rPr>
          <w:rFonts w:ascii="Helvetica Neue" w:hAnsi="Helvetica Neue"/>
          <w:lang w:val="de-CH"/>
        </w:rPr>
      </w:pPr>
    </w:p>
    <w:p w:rsidR="00574C11" w:rsidRPr="006D6661" w:rsidRDefault="00574C11">
      <w:pPr>
        <w:pStyle w:val="Listenabsatz2"/>
        <w:spacing w:line="312" w:lineRule="auto"/>
        <w:ind w:left="284"/>
        <w:jc w:val="both"/>
        <w:rPr>
          <w:rFonts w:ascii="Helvetica Neue" w:hAnsi="Helvetica Neue"/>
          <w:lang w:val="de-CH"/>
        </w:rPr>
      </w:pPr>
      <w:r w:rsidRPr="006D6661">
        <w:rPr>
          <w:rFonts w:ascii="Helvetica Neue" w:hAnsi="Helvetica Neue"/>
          <w:lang w:val="de-CH"/>
        </w:rPr>
        <w:t>Beobachtungen:</w:t>
      </w:r>
    </w:p>
    <w:p w:rsidR="00574C11" w:rsidRPr="006D6661" w:rsidRDefault="00574C11">
      <w:pPr>
        <w:pStyle w:val="Listenabsatz2"/>
        <w:spacing w:line="312" w:lineRule="auto"/>
        <w:jc w:val="both"/>
        <w:rPr>
          <w:rFonts w:ascii="Helvetica Neue" w:hAnsi="Helvetica Neue"/>
          <w:lang w:val="de-CH"/>
        </w:rPr>
      </w:pPr>
    </w:p>
    <w:p w:rsidR="00574C11" w:rsidRPr="006D6661" w:rsidRDefault="00574C11" w:rsidP="006D6661">
      <w:pPr>
        <w:pageBreakBefore/>
        <w:spacing w:line="312" w:lineRule="auto"/>
        <w:jc w:val="both"/>
        <w:outlineLvl w:val="0"/>
        <w:rPr>
          <w:rFonts w:ascii="Helvetica Neue" w:hAnsi="Helvetica Neue"/>
          <w:lang w:val="de-CH"/>
        </w:rPr>
      </w:pPr>
      <w:r w:rsidRPr="006D6661">
        <w:rPr>
          <w:rFonts w:ascii="Helvetica Neue" w:hAnsi="Helvetica Neue"/>
          <w:b/>
          <w:bCs/>
          <w:lang w:val="de-CH"/>
        </w:rPr>
        <w:lastRenderedPageBreak/>
        <w:t>Fragen</w:t>
      </w:r>
    </w:p>
    <w:p w:rsidR="00574C11" w:rsidRPr="006D6661" w:rsidRDefault="00574C11" w:rsidP="006D6661">
      <w:pPr>
        <w:widowControl w:val="0"/>
        <w:numPr>
          <w:ilvl w:val="0"/>
          <w:numId w:val="2"/>
        </w:numPr>
        <w:tabs>
          <w:tab w:val="clear" w:pos="720"/>
          <w:tab w:val="num" w:pos="284"/>
        </w:tabs>
        <w:spacing w:line="312" w:lineRule="auto"/>
        <w:ind w:left="284" w:hanging="284"/>
        <w:jc w:val="both"/>
        <w:rPr>
          <w:rFonts w:ascii="Helvetica Neue" w:hAnsi="Helvetica Neue"/>
          <w:lang w:val="de-CH"/>
        </w:rPr>
      </w:pPr>
      <w:r w:rsidRPr="006D6661">
        <w:rPr>
          <w:rFonts w:ascii="Helvetica Neue" w:hAnsi="Helvetica Neue"/>
          <w:lang w:val="de-CH"/>
        </w:rPr>
        <w:t>Welche Farben konnten beobachtet werden?</w:t>
      </w:r>
    </w:p>
    <w:p w:rsidR="00574C11" w:rsidRPr="006D6661" w:rsidRDefault="00574C11">
      <w:pPr>
        <w:spacing w:line="312" w:lineRule="auto"/>
        <w:jc w:val="both"/>
        <w:rPr>
          <w:rFonts w:ascii="Helvetica Neue" w:hAnsi="Helvetica Neue"/>
          <w:lang w:val="de-CH"/>
        </w:rPr>
      </w:pPr>
    </w:p>
    <w:p w:rsidR="00574C11" w:rsidRPr="006D6661" w:rsidRDefault="00574C11">
      <w:pPr>
        <w:spacing w:line="312" w:lineRule="auto"/>
        <w:jc w:val="both"/>
        <w:rPr>
          <w:rFonts w:ascii="Helvetica Neue" w:hAnsi="Helvetica Neue"/>
          <w:lang w:val="de-CH"/>
        </w:rPr>
      </w:pPr>
    </w:p>
    <w:p w:rsidR="00574C11" w:rsidRPr="006D6661" w:rsidRDefault="00574C11">
      <w:pPr>
        <w:spacing w:line="312" w:lineRule="auto"/>
        <w:jc w:val="both"/>
        <w:rPr>
          <w:rFonts w:ascii="Helvetica Neue" w:hAnsi="Helvetica Neue"/>
          <w:lang w:val="de-CH"/>
        </w:rPr>
      </w:pPr>
    </w:p>
    <w:p w:rsidR="00574C11" w:rsidRPr="006D6661" w:rsidRDefault="00574C11" w:rsidP="006D6661">
      <w:pPr>
        <w:widowControl w:val="0"/>
        <w:numPr>
          <w:ilvl w:val="0"/>
          <w:numId w:val="2"/>
        </w:numPr>
        <w:tabs>
          <w:tab w:val="clear" w:pos="720"/>
          <w:tab w:val="num" w:pos="284"/>
        </w:tabs>
        <w:spacing w:line="312" w:lineRule="auto"/>
        <w:ind w:left="284" w:hanging="284"/>
        <w:jc w:val="both"/>
        <w:rPr>
          <w:rFonts w:ascii="Helvetica Neue" w:hAnsi="Helvetica Neue"/>
          <w:lang w:val="de-CH"/>
        </w:rPr>
      </w:pPr>
      <w:r w:rsidRPr="006D6661">
        <w:rPr>
          <w:rFonts w:ascii="Helvetica Neue" w:hAnsi="Helvetica Neue"/>
          <w:lang w:val="de-CH"/>
        </w:rPr>
        <w:t xml:space="preserve">Die </w:t>
      </w:r>
      <w:proofErr w:type="spellStart"/>
      <w:r w:rsidRPr="006D6661">
        <w:rPr>
          <w:rFonts w:ascii="Helvetica Neue" w:hAnsi="Helvetica Neue"/>
          <w:lang w:val="de-CH"/>
        </w:rPr>
        <w:t>Citronensäure</w:t>
      </w:r>
      <w:proofErr w:type="spellEnd"/>
      <w:r w:rsidRPr="006D6661">
        <w:rPr>
          <w:rFonts w:ascii="Helvetica Neue" w:hAnsi="Helvetica Neue"/>
          <w:lang w:val="de-CH"/>
        </w:rPr>
        <w:t xml:space="preserve"> reduziert die in der Goldchlorid-Lösung auftretenden Ionen und wird dabei zu Kohlenstoffdioxid und </w:t>
      </w:r>
      <w:proofErr w:type="spellStart"/>
      <w:r w:rsidRPr="006D6661">
        <w:rPr>
          <w:rFonts w:ascii="Helvetica Neue" w:hAnsi="Helvetica Neue"/>
          <w:lang w:val="de-CH"/>
        </w:rPr>
        <w:t>Acetondicarbonsäure</w:t>
      </w:r>
      <w:proofErr w:type="spellEnd"/>
      <w:r w:rsidRPr="006D6661">
        <w:rPr>
          <w:rFonts w:ascii="Helvetica Neue" w:hAnsi="Helvetica Neue"/>
          <w:lang w:val="de-CH"/>
        </w:rPr>
        <w:t xml:space="preserve"> oxidiert. Um den Elektronenübertragungsprozess im Detail verstehen zu können, muss die Reaktion mit Oxidationszahlen untersucht werden. Geben Sie dazu zuerst die Oxidationszahlen aller beteiligten Atome an. Versuchen Sie dann, die Lücken zu füllen.</w:t>
      </w:r>
    </w:p>
    <w:p w:rsidR="00574C11" w:rsidRPr="006D6661" w:rsidRDefault="006F4CF4">
      <w:pPr>
        <w:spacing w:line="312" w:lineRule="auto"/>
        <w:jc w:val="both"/>
        <w:rPr>
          <w:rFonts w:ascii="Helvetica Neue" w:hAnsi="Helvetica Neue"/>
          <w:lang w:val="de-CH"/>
        </w:rPr>
      </w:pPr>
      <w:r w:rsidRPr="006D6661">
        <w:rPr>
          <w:rFonts w:ascii="Helvetica Neue" w:hAnsi="Helvetica Neue"/>
          <w:noProof/>
        </w:rPr>
        <w:drawing>
          <wp:anchor distT="0" distB="0" distL="0" distR="0" simplePos="0" relativeHeight="251658240" behindDoc="0" locked="0" layoutInCell="1" allowOverlap="1">
            <wp:simplePos x="0" y="0"/>
            <wp:positionH relativeFrom="column">
              <wp:align>center</wp:align>
            </wp:positionH>
            <wp:positionV relativeFrom="paragraph">
              <wp:posOffset>45085</wp:posOffset>
            </wp:positionV>
            <wp:extent cx="5760085" cy="4291965"/>
            <wp:effectExtent l="0" t="0" r="0" b="0"/>
            <wp:wrapTopAndBottom/>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4291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74C11" w:rsidRPr="006D6661" w:rsidRDefault="00574C11">
      <w:pPr>
        <w:pStyle w:val="Te1"/>
        <w:rPr>
          <w:rFonts w:ascii="Helvetica Neue" w:hAnsi="Helvetica Neue"/>
          <w:lang w:val="de-CH"/>
        </w:rPr>
      </w:pPr>
    </w:p>
    <w:p w:rsidR="006D6661" w:rsidRPr="006D6661" w:rsidRDefault="00574C11" w:rsidP="006D6661">
      <w:pPr>
        <w:widowControl w:val="0"/>
        <w:numPr>
          <w:ilvl w:val="0"/>
          <w:numId w:val="2"/>
        </w:numPr>
        <w:spacing w:line="312" w:lineRule="auto"/>
        <w:ind w:left="284" w:hanging="284"/>
        <w:jc w:val="both"/>
        <w:rPr>
          <w:rFonts w:ascii="Helvetica Neue" w:hAnsi="Helvetica Neue"/>
          <w:lang w:val="de-CH"/>
        </w:rPr>
      </w:pPr>
      <w:r w:rsidRPr="006D6661">
        <w:rPr>
          <w:rFonts w:ascii="Helvetica Neue" w:hAnsi="Helvetica Neue"/>
          <w:lang w:val="de-CH"/>
        </w:rPr>
        <w:t>Studieren Sie die Abbildung und Text zum Schwangerschaftstest. Weshalb entsteht in der zweiten Zone immer ein Balken?</w:t>
      </w:r>
    </w:p>
    <w:p w:rsidR="00574C11" w:rsidRDefault="00574C11">
      <w:pPr>
        <w:widowControl w:val="0"/>
        <w:spacing w:line="312" w:lineRule="auto"/>
        <w:jc w:val="both"/>
        <w:rPr>
          <w:rFonts w:ascii="Helvetica Neue" w:hAnsi="Helvetica Neue"/>
          <w:lang w:val="de-CH"/>
        </w:rPr>
      </w:pPr>
    </w:p>
    <w:p w:rsidR="006D6661" w:rsidRDefault="006D6661">
      <w:pPr>
        <w:widowControl w:val="0"/>
        <w:spacing w:line="312" w:lineRule="auto"/>
        <w:jc w:val="both"/>
        <w:rPr>
          <w:rFonts w:ascii="Helvetica Neue" w:hAnsi="Helvetica Neue"/>
          <w:lang w:val="de-CH"/>
        </w:rPr>
      </w:pPr>
    </w:p>
    <w:p w:rsidR="006D6661" w:rsidRPr="006D6661" w:rsidRDefault="006D6661">
      <w:pPr>
        <w:widowControl w:val="0"/>
        <w:spacing w:line="312" w:lineRule="auto"/>
        <w:jc w:val="both"/>
        <w:rPr>
          <w:rFonts w:ascii="Helvetica Neue" w:hAnsi="Helvetica Neue"/>
          <w:lang w:val="de-CH"/>
        </w:rPr>
      </w:pPr>
    </w:p>
    <w:p w:rsidR="00574C11" w:rsidRPr="006D6661" w:rsidRDefault="00574C11">
      <w:pPr>
        <w:widowControl w:val="0"/>
        <w:numPr>
          <w:ilvl w:val="0"/>
          <w:numId w:val="2"/>
        </w:numPr>
        <w:spacing w:line="312" w:lineRule="auto"/>
        <w:ind w:left="284" w:hanging="284"/>
        <w:jc w:val="both"/>
        <w:rPr>
          <w:rFonts w:ascii="Helvetica Neue" w:hAnsi="Helvetica Neue"/>
          <w:lang w:val="de-CH"/>
        </w:rPr>
      </w:pPr>
      <w:r w:rsidRPr="006D6661">
        <w:rPr>
          <w:rFonts w:ascii="Helvetica Neue" w:hAnsi="Helvetica Neue"/>
          <w:lang w:val="de-CH"/>
        </w:rPr>
        <w:t xml:space="preserve">Was könnte </w:t>
      </w:r>
      <w:proofErr w:type="gramStart"/>
      <w:r w:rsidRPr="006D6661">
        <w:rPr>
          <w:rFonts w:ascii="Helvetica Neue" w:hAnsi="Helvetica Neue"/>
          <w:lang w:val="de-CH"/>
        </w:rPr>
        <w:t>schief gelaufen</w:t>
      </w:r>
      <w:proofErr w:type="gramEnd"/>
      <w:r w:rsidRPr="006D6661">
        <w:rPr>
          <w:rFonts w:ascii="Helvetica Neue" w:hAnsi="Helvetica Neue"/>
          <w:lang w:val="de-CH"/>
        </w:rPr>
        <w:t xml:space="preserve"> sein, wenn in der zweiten Zone des Schwangerschaftstests kein Balken zu sehen ist?</w:t>
      </w:r>
    </w:p>
    <w:p w:rsidR="005435B1" w:rsidRDefault="005435B1" w:rsidP="005435B1">
      <w:pPr>
        <w:pStyle w:val="Textkrper"/>
        <w:spacing w:line="360" w:lineRule="auto"/>
        <w:jc w:val="both"/>
        <w:rPr>
          <w:rFonts w:ascii="Helvetica Neue" w:hAnsi="Helvetica Neue"/>
          <w:lang w:val="de-CH"/>
        </w:rPr>
      </w:pPr>
    </w:p>
    <w:p w:rsidR="005435B1" w:rsidRPr="005435B1" w:rsidRDefault="005435B1" w:rsidP="005435B1">
      <w:pPr>
        <w:pStyle w:val="Textkrper"/>
        <w:spacing w:line="360" w:lineRule="auto"/>
        <w:ind w:left="0"/>
        <w:jc w:val="both"/>
        <w:rPr>
          <w:rFonts w:ascii="Helvetica Neue" w:hAnsi="Helvetica Neue"/>
          <w:lang w:val="de-CH"/>
        </w:rPr>
      </w:pPr>
      <w:r w:rsidRPr="005435B1">
        <w:rPr>
          <w:rFonts w:ascii="Helvetica Neue" w:hAnsi="Helvetica Neue"/>
          <w:lang w:val="de-CH"/>
        </w:rPr>
        <w:t xml:space="preserve">Zusatzfrage: </w:t>
      </w:r>
      <w:r>
        <w:rPr>
          <w:rFonts w:ascii="Helvetica Neue" w:hAnsi="Helvetica Neue"/>
          <w:lang w:val="de-CH"/>
        </w:rPr>
        <w:t>versuchen Sie mithilfe einer Internetsuche h</w:t>
      </w:r>
      <w:r w:rsidRPr="005435B1">
        <w:rPr>
          <w:rFonts w:ascii="Helvetica Neue" w:hAnsi="Helvetica Neue"/>
          <w:lang w:val="de-CH"/>
        </w:rPr>
        <w:t xml:space="preserve">erauszufinden wieso Metalle glänzen und wieso Gold Nanopartikel </w:t>
      </w:r>
      <w:r>
        <w:rPr>
          <w:rFonts w:ascii="Helvetica Neue" w:hAnsi="Helvetica Neue"/>
          <w:lang w:val="de-CH"/>
        </w:rPr>
        <w:t>farbig sind.</w:t>
      </w:r>
    </w:p>
    <w:p w:rsidR="00574C11" w:rsidRPr="006D6661" w:rsidRDefault="00574C11">
      <w:pPr>
        <w:spacing w:line="312" w:lineRule="auto"/>
        <w:jc w:val="both"/>
        <w:rPr>
          <w:rFonts w:ascii="Helvetica Neue" w:hAnsi="Helvetica Neue"/>
          <w:lang w:val="de-CH"/>
        </w:rPr>
      </w:pPr>
    </w:p>
    <w:sectPr w:rsidR="00574C11" w:rsidRPr="006D6661">
      <w:footerReference w:type="even" r:id="rId13"/>
      <w:footerReference w:type="default" r:id="rId14"/>
      <w:pgSz w:w="11906" w:h="16838"/>
      <w:pgMar w:top="1054" w:right="1417" w:bottom="1134" w:left="1417"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E3" w:rsidRDefault="001140E3" w:rsidP="00965516">
      <w:r>
        <w:separator/>
      </w:r>
    </w:p>
  </w:endnote>
  <w:endnote w:type="continuationSeparator" w:id="0">
    <w:p w:rsidR="001140E3" w:rsidRDefault="001140E3" w:rsidP="0096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altName w:val="Source Sans Pro"/>
    <w:charset w:val="00"/>
    <w:family w:val="auto"/>
    <w:pitch w:val="variable"/>
    <w:sig w:usb0="00000003" w:usb1="500079DB" w:usb2="00000010" w:usb3="00000000" w:csb0="00000001" w:csb1="00000000"/>
  </w:font>
  <w:font w:name="DejaVu Sans">
    <w:altName w:val="Times New Roman"/>
    <w:charset w:val="00"/>
    <w:family w:val="auto"/>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16" w:rsidRDefault="00965516" w:rsidP="001140E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65516" w:rsidRDefault="00965516" w:rsidP="0096551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16" w:rsidRDefault="00965516" w:rsidP="001140E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F4CF4">
      <w:rPr>
        <w:rStyle w:val="Seitenzahl"/>
        <w:noProof/>
      </w:rPr>
      <w:t>2</w:t>
    </w:r>
    <w:r>
      <w:rPr>
        <w:rStyle w:val="Seitenzahl"/>
      </w:rPr>
      <w:fldChar w:fldCharType="end"/>
    </w:r>
  </w:p>
  <w:p w:rsidR="00965516" w:rsidRPr="00965516" w:rsidRDefault="00207007" w:rsidP="00965516">
    <w:pPr>
      <w:pStyle w:val="Fuzeile"/>
      <w:ind w:right="360"/>
      <w:rPr>
        <w:rFonts w:ascii="Arial" w:hAnsi="Arial" w:cs="Arial"/>
        <w:color w:val="808080"/>
        <w:sz w:val="16"/>
        <w:szCs w:val="16"/>
      </w:rPr>
    </w:pPr>
    <w:r>
      <w:rPr>
        <w:rFonts w:ascii="Arial" w:hAnsi="Arial" w:cs="Arial"/>
        <w:color w:val="808080"/>
        <w:sz w:val="16"/>
        <w:szCs w:val="16"/>
      </w:rPr>
      <w:t xml:space="preserve">© ETH Zurich, R. </w:t>
    </w:r>
    <w:r w:rsidR="00965516" w:rsidRPr="00965516">
      <w:rPr>
        <w:rFonts w:ascii="Arial" w:hAnsi="Arial" w:cs="Arial"/>
        <w:color w:val="808080"/>
        <w:sz w:val="16"/>
        <w:szCs w:val="16"/>
      </w:rPr>
      <w:t>Grass et 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E3" w:rsidRDefault="001140E3" w:rsidP="00965516">
      <w:r>
        <w:separator/>
      </w:r>
    </w:p>
  </w:footnote>
  <w:footnote w:type="continuationSeparator" w:id="0">
    <w:p w:rsidR="001140E3" w:rsidRDefault="001140E3" w:rsidP="00965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revisionView w:insDel="0" w:formatting="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61"/>
    <w:rsid w:val="001140E3"/>
    <w:rsid w:val="00207007"/>
    <w:rsid w:val="005435B1"/>
    <w:rsid w:val="00574C11"/>
    <w:rsid w:val="006D6661"/>
    <w:rsid w:val="006F4CF4"/>
    <w:rsid w:val="0096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efaultImageDpi w14:val="32767"/>
  <w15:chartTrackingRefBased/>
  <w15:docId w15:val="{9E438C46-D474-47CB-9BBF-FB4F37A9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pPr>
      <w:suppressAutoHyphens/>
    </w:pPr>
  </w:style>
  <w:style w:type="paragraph" w:styleId="berschrift1">
    <w:name w:val="heading 1"/>
    <w:basedOn w:val="Standard"/>
    <w:next w:val="Textkrper"/>
    <w:qFormat/>
    <w:pPr>
      <w:keepNext/>
      <w:keepLines/>
      <w:numPr>
        <w:numId w:val="1"/>
      </w:numPr>
      <w:spacing w:before="480"/>
      <w:outlineLvl w:val="0"/>
    </w:pPr>
  </w:style>
  <w:style w:type="paragraph" w:styleId="berschrift2">
    <w:name w:val="heading 2"/>
    <w:basedOn w:val="Standard"/>
    <w:next w:val="Textkrper"/>
    <w:qFormat/>
    <w:pPr>
      <w:keepNext/>
      <w:keepLines/>
      <w:numPr>
        <w:ilvl w:val="1"/>
        <w:numId w:val="1"/>
      </w:numPr>
      <w:spacing w:before="200"/>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Absatz-Standardschriftart0">
    <w:name w:val="Default Paragraph Font"/>
  </w:style>
  <w:style w:type="character" w:customStyle="1" w:styleId="TextkrperZeichen">
    <w:name w:val="Textkörper Zeichen"/>
    <w:basedOn w:val="Absatz-Standardschriftart0"/>
  </w:style>
  <w:style w:type="character" w:customStyle="1" w:styleId="SprechblasentextZeichen">
    <w:name w:val="Sprechblasentext Zeichen"/>
    <w:basedOn w:val="Absatz-Standardschriftart0"/>
  </w:style>
  <w:style w:type="character" w:customStyle="1" w:styleId="berschrift2Zeichen">
    <w:name w:val="Überschrift 2 Zeichen"/>
    <w:basedOn w:val="Absatz-Standardschriftart0"/>
  </w:style>
  <w:style w:type="character" w:customStyle="1" w:styleId="berschrift1Zeichen">
    <w:name w:val="Überschrift 1 Zeichen"/>
    <w:basedOn w:val="Absatz-Standardschriftart0"/>
  </w:style>
  <w:style w:type="character" w:customStyle="1" w:styleId="TitelZeichen">
    <w:name w:val="Titel Zeichen"/>
    <w:basedOn w:val="Absatz-Standardschriftart0"/>
  </w:style>
  <w:style w:type="character" w:customStyle="1" w:styleId="UntertitelZeichen">
    <w:name w:val="Untertitel Zeichen"/>
    <w:basedOn w:val="Absatz-Standardschriftart0"/>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Standard"/>
    <w:next w:val="Textkrper"/>
    <w:pPr>
      <w:keepNext/>
      <w:spacing w:before="240" w:after="120"/>
    </w:pPr>
  </w:style>
  <w:style w:type="paragraph" w:styleId="Textkrper">
    <w:name w:val="Body Text"/>
    <w:basedOn w:val="Standard"/>
    <w:pPr>
      <w:spacing w:after="200" w:line="260" w:lineRule="exact"/>
      <w:ind w:left="864"/>
    </w:pPr>
  </w:style>
  <w:style w:type="paragraph" w:styleId="Liste">
    <w:name w:val="List"/>
    <w:basedOn w:val="Textkrpe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style>
  <w:style w:type="paragraph" w:customStyle="1" w:styleId="KSImLeeText">
    <w:name w:val="KS Im Lee Text"/>
    <w:basedOn w:val="Standard"/>
    <w:pPr>
      <w:spacing w:before="120" w:line="312" w:lineRule="auto"/>
      <w:jc w:val="both"/>
    </w:pPr>
  </w:style>
  <w:style w:type="paragraph" w:customStyle="1" w:styleId="KSImLeeTitel">
    <w:name w:val="KS Im Lee Titel"/>
    <w:basedOn w:val="Standard"/>
    <w:pPr>
      <w:jc w:val="center"/>
    </w:pPr>
  </w:style>
  <w:style w:type="paragraph" w:customStyle="1" w:styleId="caption">
    <w:name w:val="caption"/>
    <w:basedOn w:val="Standard"/>
    <w:pPr>
      <w:spacing w:after="200"/>
    </w:pPr>
  </w:style>
  <w:style w:type="paragraph" w:styleId="Sprechblasentext">
    <w:name w:val="Balloon Text"/>
    <w:basedOn w:val="Standard"/>
  </w:style>
  <w:style w:type="paragraph" w:customStyle="1" w:styleId="Listenabsatz1">
    <w:name w:val="Listenabsatz1"/>
    <w:basedOn w:val="Standard"/>
    <w:pPr>
      <w:widowControl w:val="0"/>
      <w:ind w:left="720"/>
    </w:pPr>
  </w:style>
  <w:style w:type="paragraph" w:styleId="FarbigeListe-Akzent1">
    <w:name w:val="Colorful List Accent 1"/>
    <w:basedOn w:val="Standard"/>
    <w:qFormat/>
    <w:pPr>
      <w:ind w:left="720"/>
    </w:pPr>
  </w:style>
  <w:style w:type="paragraph" w:customStyle="1" w:styleId="Listenabsatz2">
    <w:name w:val="Listenabsatz2"/>
    <w:basedOn w:val="Standard"/>
    <w:pPr>
      <w:widowControl w:val="0"/>
      <w:ind w:left="720"/>
    </w:pPr>
  </w:style>
  <w:style w:type="paragraph" w:customStyle="1" w:styleId="Te1">
    <w:name w:val="Te_1"/>
    <w:basedOn w:val="Standard"/>
    <w:pPr>
      <w:spacing w:line="312" w:lineRule="auto"/>
      <w:jc w:val="both"/>
    </w:pPr>
  </w:style>
  <w:style w:type="paragraph" w:styleId="Titel">
    <w:name w:val="Title"/>
    <w:basedOn w:val="Standard"/>
    <w:next w:val="Untertitel"/>
    <w:qFormat/>
    <w:pPr>
      <w:widowControl w:val="0"/>
    </w:pPr>
  </w:style>
  <w:style w:type="paragraph" w:styleId="Untertitel">
    <w:name w:val="Subtitle"/>
    <w:basedOn w:val="Standard"/>
    <w:next w:val="Textkrper"/>
    <w:qFormat/>
  </w:style>
  <w:style w:type="paragraph" w:customStyle="1" w:styleId="ProjectName">
    <w:name w:val="Project Name"/>
    <w:pPr>
      <w:suppressAutoHyphens/>
      <w:spacing w:before="100" w:line="100" w:lineRule="atLeast"/>
    </w:pPr>
  </w:style>
  <w:style w:type="paragraph" w:customStyle="1" w:styleId="Ti1">
    <w:name w:val="Ti_1"/>
    <w:basedOn w:val="Standard"/>
    <w:pPr>
      <w:spacing w:line="312" w:lineRule="auto"/>
      <w:jc w:val="both"/>
    </w:pPr>
  </w:style>
  <w:style w:type="paragraph" w:customStyle="1" w:styleId="Te2">
    <w:name w:val="Te_2"/>
    <w:basedOn w:val="Listenabsatz2"/>
    <w:pPr>
      <w:spacing w:line="312" w:lineRule="auto"/>
      <w:ind w:left="284" w:hanging="284"/>
      <w:jc w:val="both"/>
    </w:pPr>
    <w:rPr>
      <w:rFonts w:ascii="Helvetica Neue" w:hAnsi="Helvetica Neue"/>
      <w:lang w:val="de-CH"/>
    </w:rPr>
  </w:style>
  <w:style w:type="paragraph" w:styleId="Kopfzeile">
    <w:name w:val="header"/>
    <w:basedOn w:val="Standard"/>
    <w:link w:val="KopfzeileZchn"/>
    <w:uiPriority w:val="99"/>
    <w:unhideWhenUsed/>
    <w:rsid w:val="00965516"/>
    <w:pPr>
      <w:tabs>
        <w:tab w:val="center" w:pos="4536"/>
        <w:tab w:val="right" w:pos="9072"/>
      </w:tabs>
    </w:pPr>
  </w:style>
  <w:style w:type="character" w:customStyle="1" w:styleId="KopfzeileZchn">
    <w:name w:val="Kopfzeile Zchn"/>
    <w:basedOn w:val="Absatz-Standardschriftart"/>
    <w:link w:val="Kopfzeile"/>
    <w:uiPriority w:val="99"/>
    <w:rsid w:val="00965516"/>
  </w:style>
  <w:style w:type="paragraph" w:styleId="Fuzeile">
    <w:name w:val="footer"/>
    <w:basedOn w:val="Standard"/>
    <w:link w:val="FuzeileZchn"/>
    <w:uiPriority w:val="99"/>
    <w:unhideWhenUsed/>
    <w:rsid w:val="00965516"/>
    <w:pPr>
      <w:tabs>
        <w:tab w:val="center" w:pos="4536"/>
        <w:tab w:val="right" w:pos="9072"/>
      </w:tabs>
    </w:pPr>
  </w:style>
  <w:style w:type="character" w:customStyle="1" w:styleId="FuzeileZchn">
    <w:name w:val="Fußzeile Zchn"/>
    <w:basedOn w:val="Absatz-Standardschriftart"/>
    <w:link w:val="Fuzeile"/>
    <w:uiPriority w:val="99"/>
    <w:rsid w:val="00965516"/>
  </w:style>
  <w:style w:type="character" w:styleId="Seitenzahl">
    <w:name w:val="page number"/>
    <w:uiPriority w:val="99"/>
    <w:semiHidden/>
    <w:unhideWhenUsed/>
    <w:rsid w:val="0096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648</Words>
  <Characters>3699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Sigrist</dc:creator>
  <cp:keywords/>
  <cp:lastModifiedBy>Carlos Mora</cp:lastModifiedBy>
  <cp:revision>2</cp:revision>
  <cp:lastPrinted>1601-01-01T00:00:00Z</cp:lastPrinted>
  <dcterms:created xsi:type="dcterms:W3CDTF">2016-09-15T08:17:00Z</dcterms:created>
  <dcterms:modified xsi:type="dcterms:W3CDTF">2016-09-15T08:17:00Z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KS im Lee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