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59" w:rsidRDefault="00702759">
      <w:pPr>
        <w:rPr>
          <w:b/>
          <w:bCs/>
          <w:u w:val="single"/>
        </w:rPr>
      </w:pPr>
      <w:r>
        <w:rPr>
          <w:b/>
          <w:bCs/>
          <w:u w:val="single"/>
        </w:rPr>
        <w:t>Gender and Diversity Advocate report</w:t>
      </w:r>
    </w:p>
    <w:p w:rsidR="008B6E30" w:rsidRPr="008B6E30" w:rsidRDefault="008B6E30" w:rsidP="00753D64">
      <w:r w:rsidRPr="008B6E30">
        <w:t xml:space="preserve">Roy Wagner, May </w:t>
      </w:r>
      <w:r w:rsidR="00753D64">
        <w:t>22</w:t>
      </w:r>
      <w:r w:rsidRPr="008B6E30">
        <w:t xml:space="preserve"> 2022</w:t>
      </w:r>
    </w:p>
    <w:p w:rsidR="00702759" w:rsidRDefault="00702759" w:rsidP="006A3C4F">
      <w:r>
        <w:t xml:space="preserve">Over the last few months, </w:t>
      </w:r>
      <w:r w:rsidR="006A3C4F">
        <w:t xml:space="preserve">as Gender and Diversity Advocate, </w:t>
      </w:r>
      <w:r>
        <w:t>I have been collecting the results of various departmental processes concerning Wellbeing, Inclusion, Di</w:t>
      </w:r>
      <w:r w:rsidR="006A3C4F">
        <w:t>versity and Equity (WIDE) issues</w:t>
      </w:r>
      <w:r>
        <w:t xml:space="preserve">. My sources were the Gender Action Plan, the </w:t>
      </w:r>
      <w:proofErr w:type="spellStart"/>
      <w:r>
        <w:t>Schulleitung’s</w:t>
      </w:r>
      <w:proofErr w:type="spellEnd"/>
      <w:r>
        <w:t xml:space="preserve"> report on the departmental evaluation, the employee survey, the ASST survey, documents prepared by ASST, </w:t>
      </w:r>
      <w:proofErr w:type="spellStart"/>
      <w:r>
        <w:t>GESSWho</w:t>
      </w:r>
      <w:proofErr w:type="spellEnd"/>
      <w:r>
        <w:t xml:space="preserve">! </w:t>
      </w:r>
      <w:proofErr w:type="gramStart"/>
      <w:r w:rsidR="006A3C4F">
        <w:t>a</w:t>
      </w:r>
      <w:r>
        <w:t>nd</w:t>
      </w:r>
      <w:proofErr w:type="gramEnd"/>
      <w:r>
        <w:t xml:space="preserve"> </w:t>
      </w:r>
      <w:proofErr w:type="spellStart"/>
      <w:r>
        <w:t>SWiSH</w:t>
      </w:r>
      <w:proofErr w:type="spellEnd"/>
      <w:r>
        <w:t>, the professorial diversity workshops, and the WIDE group meeting</w:t>
      </w:r>
      <w:r w:rsidR="006A3C4F">
        <w:t>s</w:t>
      </w:r>
      <w:r>
        <w:t>.</w:t>
      </w:r>
    </w:p>
    <w:p w:rsidR="006A3C4F" w:rsidRDefault="006A3C4F" w:rsidP="0021620C">
      <w:r>
        <w:t xml:space="preserve">In this </w:t>
      </w:r>
      <w:proofErr w:type="gramStart"/>
      <w:r>
        <w:t>document</w:t>
      </w:r>
      <w:proofErr w:type="gramEnd"/>
      <w:r>
        <w:t xml:space="preserve"> I include:</w:t>
      </w:r>
    </w:p>
    <w:p w:rsidR="006A3C4F" w:rsidRDefault="0021620C" w:rsidP="006A3C4F">
      <w:r>
        <w:t xml:space="preserve">(1) </w:t>
      </w:r>
      <w:r w:rsidR="006A3C4F">
        <w:t>A</w:t>
      </w:r>
      <w:r w:rsidR="00702759">
        <w:t xml:space="preserve"> review of the implementation of the Gender Action Plan</w:t>
      </w:r>
    </w:p>
    <w:p w:rsidR="006A3C4F" w:rsidRDefault="0021620C" w:rsidP="006A3C4F">
      <w:r>
        <w:t>(2)</w:t>
      </w:r>
      <w:r w:rsidR="00702759">
        <w:t xml:space="preserve"> </w:t>
      </w:r>
      <w:r w:rsidR="006A3C4F">
        <w:t>A</w:t>
      </w:r>
      <w:r w:rsidR="00702759">
        <w:t xml:space="preserve">n overview of current activities, </w:t>
      </w:r>
      <w:proofErr w:type="gramStart"/>
      <w:r w:rsidR="00702759">
        <w:t>future plans</w:t>
      </w:r>
      <w:proofErr w:type="gramEnd"/>
      <w:r w:rsidR="00702759">
        <w:t>, and issu</w:t>
      </w:r>
      <w:r>
        <w:t>e</w:t>
      </w:r>
      <w:r w:rsidR="006A3C4F">
        <w:t>s that need further discussion</w:t>
      </w:r>
    </w:p>
    <w:p w:rsidR="00702759" w:rsidRDefault="0021620C" w:rsidP="006A3C4F">
      <w:pPr>
        <w:rPr>
          <w:b/>
          <w:bCs/>
          <w:u w:val="single"/>
        </w:rPr>
      </w:pPr>
      <w:r>
        <w:t xml:space="preserve">(3) </w:t>
      </w:r>
      <w:r w:rsidR="006A3C4F">
        <w:t>S</w:t>
      </w:r>
      <w:r>
        <w:t>uggestions for teachers, professors, teaching committees, sections/clusters and the head of the department</w:t>
      </w:r>
      <w:r w:rsidR="00702759">
        <w:rPr>
          <w:b/>
          <w:bCs/>
          <w:u w:val="single"/>
        </w:rPr>
        <w:t xml:space="preserve"> </w:t>
      </w:r>
    </w:p>
    <w:p w:rsidR="002A6CF2" w:rsidRPr="002A6CF2" w:rsidRDefault="002A6CF2" w:rsidP="006A3C4F">
      <w:r>
        <w:t xml:space="preserve">(4) Comments about diversity myths </w:t>
      </w:r>
      <w:r w:rsidR="00B80D1E">
        <w:t xml:space="preserve">and observations on the professorial workshops </w:t>
      </w:r>
      <w:r w:rsidR="004E1A59">
        <w:t xml:space="preserve">(from Jamie </w:t>
      </w:r>
      <w:bookmarkStart w:id="0" w:name="_GoBack"/>
      <w:bookmarkEnd w:id="0"/>
      <w:proofErr w:type="spellStart"/>
      <w:r>
        <w:t>Gloor</w:t>
      </w:r>
      <w:proofErr w:type="spellEnd"/>
      <w:r>
        <w:t xml:space="preserve">) and </w:t>
      </w:r>
      <w:r w:rsidR="00B80D1E">
        <w:t xml:space="preserve">a </w:t>
      </w:r>
      <w:r>
        <w:t>general discussion of diversity</w:t>
      </w:r>
    </w:p>
    <w:p w:rsidR="00795D0E" w:rsidRDefault="00795D0E" w:rsidP="0021620C">
      <w:pPr>
        <w:rPr>
          <w:b/>
          <w:bCs/>
          <w:u w:val="single"/>
        </w:rPr>
      </w:pPr>
    </w:p>
    <w:p w:rsidR="00F56F79" w:rsidRPr="006A3C4F" w:rsidRDefault="002D7A08" w:rsidP="008B6E30">
      <w:pPr>
        <w:pStyle w:val="ListParagraph"/>
        <w:numPr>
          <w:ilvl w:val="0"/>
          <w:numId w:val="16"/>
        </w:numPr>
        <w:rPr>
          <w:b/>
          <w:bCs/>
          <w:u w:val="single"/>
        </w:rPr>
      </w:pPr>
      <w:r w:rsidRPr="006A3C4F">
        <w:rPr>
          <w:b/>
          <w:bCs/>
          <w:u w:val="single"/>
        </w:rPr>
        <w:t xml:space="preserve">Gender Action </w:t>
      </w:r>
      <w:r w:rsidR="008B6E30">
        <w:rPr>
          <w:b/>
          <w:bCs/>
          <w:u w:val="single"/>
        </w:rPr>
        <w:t>P</w:t>
      </w:r>
      <w:r w:rsidRPr="006A3C4F">
        <w:rPr>
          <w:b/>
          <w:bCs/>
          <w:u w:val="single"/>
        </w:rPr>
        <w:t>lan</w:t>
      </w:r>
      <w:r w:rsidR="00702759" w:rsidRPr="006A3C4F">
        <w:rPr>
          <w:b/>
          <w:bCs/>
          <w:u w:val="single"/>
        </w:rPr>
        <w:t xml:space="preserve"> </w:t>
      </w:r>
      <w:r w:rsidR="008B6E30">
        <w:rPr>
          <w:b/>
          <w:bCs/>
          <w:u w:val="single"/>
        </w:rPr>
        <w:t>i</w:t>
      </w:r>
      <w:r w:rsidR="008B6E30" w:rsidRPr="006A3C4F">
        <w:rPr>
          <w:b/>
          <w:bCs/>
          <w:u w:val="single"/>
        </w:rPr>
        <w:t xml:space="preserve">mplementation </w:t>
      </w:r>
      <w:r w:rsidR="00702759" w:rsidRPr="006A3C4F">
        <w:rPr>
          <w:b/>
          <w:bCs/>
          <w:u w:val="single"/>
        </w:rPr>
        <w:t>(</w:t>
      </w:r>
      <w:r w:rsidR="00702759" w:rsidRPr="006A3C4F">
        <w:rPr>
          <w:b/>
          <w:bCs/>
          <w:highlight w:val="green"/>
          <w:u w:val="single"/>
        </w:rPr>
        <w:t>Implemented</w:t>
      </w:r>
      <w:r w:rsidR="00702759" w:rsidRPr="006A3C4F">
        <w:rPr>
          <w:b/>
          <w:bCs/>
          <w:u w:val="single"/>
        </w:rPr>
        <w:t xml:space="preserve">, </w:t>
      </w:r>
      <w:r w:rsidR="00702759" w:rsidRPr="006A3C4F">
        <w:rPr>
          <w:b/>
          <w:bCs/>
          <w:highlight w:val="yellow"/>
          <w:u w:val="single"/>
        </w:rPr>
        <w:t>partly implemented</w:t>
      </w:r>
      <w:r w:rsidR="00702759" w:rsidRPr="006A3C4F">
        <w:rPr>
          <w:b/>
          <w:bCs/>
          <w:u w:val="single"/>
        </w:rPr>
        <w:t xml:space="preserve">, </w:t>
      </w:r>
      <w:r w:rsidR="00702759" w:rsidRPr="006A3C4F">
        <w:rPr>
          <w:b/>
          <w:bCs/>
          <w:highlight w:val="red"/>
          <w:u w:val="single"/>
        </w:rPr>
        <w:t>not implemented</w:t>
      </w:r>
      <w:r w:rsidR="00702759" w:rsidRPr="006A3C4F">
        <w:rPr>
          <w:b/>
          <w:bCs/>
          <w:u w:val="single"/>
        </w:rPr>
        <w:t>)</w:t>
      </w:r>
    </w:p>
    <w:tbl>
      <w:tblPr>
        <w:tblStyle w:val="TableGrid"/>
        <w:tblW w:w="9351" w:type="dxa"/>
        <w:tblLook w:val="04A0" w:firstRow="1" w:lastRow="0" w:firstColumn="1" w:lastColumn="0" w:noHBand="0" w:noVBand="1"/>
      </w:tblPr>
      <w:tblGrid>
        <w:gridCol w:w="3117"/>
        <w:gridCol w:w="3966"/>
        <w:gridCol w:w="2268"/>
      </w:tblGrid>
      <w:tr w:rsidR="002C056C" w:rsidTr="003E456F">
        <w:tc>
          <w:tcPr>
            <w:tcW w:w="3117" w:type="dxa"/>
          </w:tcPr>
          <w:p w:rsidR="002C056C" w:rsidRDefault="002C056C">
            <w:r>
              <w:t>GAP measure</w:t>
            </w:r>
          </w:p>
        </w:tc>
        <w:tc>
          <w:tcPr>
            <w:tcW w:w="3966" w:type="dxa"/>
          </w:tcPr>
          <w:p w:rsidR="002C056C" w:rsidRDefault="002C056C">
            <w:r>
              <w:t>Implementation</w:t>
            </w:r>
          </w:p>
        </w:tc>
        <w:tc>
          <w:tcPr>
            <w:tcW w:w="2268" w:type="dxa"/>
          </w:tcPr>
          <w:p w:rsidR="002C056C" w:rsidRDefault="002C056C">
            <w:r>
              <w:t>Future steps</w:t>
            </w:r>
          </w:p>
        </w:tc>
      </w:tr>
      <w:tr w:rsidR="007260FD" w:rsidTr="003E456F">
        <w:tc>
          <w:tcPr>
            <w:tcW w:w="3117" w:type="dxa"/>
          </w:tcPr>
          <w:p w:rsidR="007260FD" w:rsidRPr="007260FD" w:rsidRDefault="007260FD" w:rsidP="002C056C">
            <w:pPr>
              <w:rPr>
                <w:b/>
                <w:bCs/>
              </w:rPr>
            </w:pPr>
            <w:r w:rsidRPr="007260FD">
              <w:rPr>
                <w:b/>
                <w:bCs/>
              </w:rPr>
              <w:t>Appointment of tenure/tenure-track women professors</w:t>
            </w:r>
          </w:p>
        </w:tc>
        <w:tc>
          <w:tcPr>
            <w:tcW w:w="3966" w:type="dxa"/>
          </w:tcPr>
          <w:p w:rsidR="007260FD" w:rsidRDefault="007260FD"/>
        </w:tc>
        <w:tc>
          <w:tcPr>
            <w:tcW w:w="2268" w:type="dxa"/>
          </w:tcPr>
          <w:p w:rsidR="007260FD" w:rsidRDefault="007260FD"/>
        </w:tc>
      </w:tr>
      <w:tr w:rsidR="002C056C" w:rsidTr="003E456F">
        <w:tc>
          <w:tcPr>
            <w:tcW w:w="3117" w:type="dxa"/>
          </w:tcPr>
          <w:p w:rsidR="002C056C" w:rsidRDefault="00323D80" w:rsidP="00A63616">
            <w:r>
              <w:t>5 new</w:t>
            </w:r>
            <w:r w:rsidR="002C056C">
              <w:t xml:space="preserve"> appointments </w:t>
            </w:r>
            <w:r>
              <w:t>(</w:t>
            </w:r>
            <w:r w:rsidR="0012461D">
              <w:rPr>
                <w:lang w:bidi="ml-IN"/>
              </w:rPr>
              <w:t>3</w:t>
            </w:r>
            <w:r>
              <w:t xml:space="preserve"> ETH+</w:t>
            </w:r>
            <w:r w:rsidR="00B329A6">
              <w:t xml:space="preserve">, </w:t>
            </w:r>
            <w:r w:rsidR="0012461D">
              <w:t xml:space="preserve">Ethics, technology Society and </w:t>
            </w:r>
            <w:r w:rsidR="00A63616">
              <w:t>Disability and health technology in society</w:t>
            </w:r>
            <w:r>
              <w:t xml:space="preserve">) </w:t>
            </w:r>
            <w:r w:rsidR="002C056C">
              <w:t>to result in recruit</w:t>
            </w:r>
            <w:r w:rsidR="00A63616">
              <w:t xml:space="preserve">ing </w:t>
            </w:r>
            <w:r w:rsidR="00B80D1E">
              <w:t xml:space="preserve">at least </w:t>
            </w:r>
            <w:r w:rsidR="0012461D">
              <w:t>3</w:t>
            </w:r>
            <w:r w:rsidR="002C056C">
              <w:t xml:space="preserve"> women</w:t>
            </w:r>
            <w:r>
              <w:t xml:space="preserve">. </w:t>
            </w:r>
            <w:r w:rsidR="00A63616">
              <w:t>W</w:t>
            </w:r>
            <w:r>
              <w:t>ith</w:t>
            </w:r>
            <w:r w:rsidR="00A63616">
              <w:t xml:space="preserve"> subsequent</w:t>
            </w:r>
            <w:r>
              <w:t xml:space="preserve"> </w:t>
            </w:r>
            <w:r w:rsidR="00A63616">
              <w:t>retirements</w:t>
            </w:r>
            <w:r>
              <w:t>, the department should have 1/3 women professors by 2031.</w:t>
            </w:r>
          </w:p>
        </w:tc>
        <w:tc>
          <w:tcPr>
            <w:tcW w:w="3966" w:type="dxa"/>
          </w:tcPr>
          <w:p w:rsidR="00A63616" w:rsidRDefault="0012461D" w:rsidP="0016255E">
            <w:r>
              <w:t>O</w:t>
            </w:r>
            <w:r w:rsidR="00B329A6">
              <w:t xml:space="preserve">ne ETH+ </w:t>
            </w:r>
            <w:r w:rsidR="00B329A6" w:rsidRPr="00B329A6">
              <w:t>moved to D-MAVT (Tilley)</w:t>
            </w:r>
            <w:r w:rsidR="00A63616">
              <w:t>,</w:t>
            </w:r>
            <w:r w:rsidR="00B329A6" w:rsidRPr="00B329A6">
              <w:t xml:space="preserve"> </w:t>
            </w:r>
            <w:r>
              <w:t xml:space="preserve">the </w:t>
            </w:r>
            <w:r w:rsidR="00A63616">
              <w:t xml:space="preserve">disability </w:t>
            </w:r>
            <w:r>
              <w:t xml:space="preserve">position </w:t>
            </w:r>
            <w:proofErr w:type="gramStart"/>
            <w:r>
              <w:t>was postponed</w:t>
            </w:r>
            <w:proofErr w:type="gramEnd"/>
            <w:r w:rsidR="00B329A6" w:rsidRPr="00B329A6">
              <w:t xml:space="preserve">. </w:t>
            </w:r>
          </w:p>
          <w:p w:rsidR="00323D80" w:rsidRDefault="00B329A6" w:rsidP="0016255E">
            <w:pPr>
              <w:rPr>
                <w:highlight w:val="yellow"/>
              </w:rPr>
            </w:pPr>
            <w:r>
              <w:rPr>
                <w:highlight w:val="green"/>
              </w:rPr>
              <w:t xml:space="preserve">4 women recruited in </w:t>
            </w:r>
            <w:r w:rsidR="0012461D">
              <w:rPr>
                <w:highlight w:val="green"/>
              </w:rPr>
              <w:t>remaining 3</w:t>
            </w:r>
            <w:r>
              <w:rPr>
                <w:highlight w:val="green"/>
              </w:rPr>
              <w:t xml:space="preserve"> </w:t>
            </w:r>
            <w:r w:rsidR="00EE08B5">
              <w:rPr>
                <w:highlight w:val="green"/>
              </w:rPr>
              <w:t xml:space="preserve">searches </w:t>
            </w:r>
            <w:r>
              <w:rPr>
                <w:highlight w:val="green"/>
              </w:rPr>
              <w:t>(</w:t>
            </w:r>
            <w:r w:rsidR="002C056C" w:rsidRPr="006A3C4F">
              <w:rPr>
                <w:highlight w:val="green"/>
              </w:rPr>
              <w:t>Hofer</w:t>
            </w:r>
            <w:r w:rsidR="00323D80">
              <w:rPr>
                <w:highlight w:val="green"/>
              </w:rPr>
              <w:t xml:space="preserve">, Zimmerman, </w:t>
            </w:r>
            <w:proofErr w:type="spellStart"/>
            <w:r w:rsidR="00323D80" w:rsidRPr="00F56F79">
              <w:rPr>
                <w:highlight w:val="green"/>
              </w:rPr>
              <w:t>Boenig-Liptsin</w:t>
            </w:r>
            <w:proofErr w:type="spellEnd"/>
            <w:r w:rsidR="00CD4F34">
              <w:rPr>
                <w:highlight w:val="green"/>
              </w:rPr>
              <w:t xml:space="preserve"> and</w:t>
            </w:r>
            <w:r w:rsidR="00323D80" w:rsidRPr="00F56F79">
              <w:rPr>
                <w:highlight w:val="green"/>
              </w:rPr>
              <w:t xml:space="preserve"> </w:t>
            </w:r>
            <w:proofErr w:type="spellStart"/>
            <w:r w:rsidR="00323D80" w:rsidRPr="00F56F79">
              <w:rPr>
                <w:highlight w:val="green"/>
              </w:rPr>
              <w:t>Mazouz</w:t>
            </w:r>
            <w:proofErr w:type="spellEnd"/>
            <w:r>
              <w:rPr>
                <w:highlight w:val="green"/>
              </w:rPr>
              <w:t>)</w:t>
            </w:r>
            <w:r w:rsidR="0012461D">
              <w:rPr>
                <w:highlight w:val="green"/>
              </w:rPr>
              <w:t xml:space="preserve">, </w:t>
            </w:r>
            <w:proofErr w:type="spellStart"/>
            <w:r w:rsidR="0016255E">
              <w:rPr>
                <w:highlight w:val="green"/>
              </w:rPr>
              <w:t>Mazouz</w:t>
            </w:r>
            <w:proofErr w:type="spellEnd"/>
            <w:r w:rsidR="00EE08B5">
              <w:rPr>
                <w:highlight w:val="green"/>
              </w:rPr>
              <w:t xml:space="preserve"> </w:t>
            </w:r>
            <w:r w:rsidR="0016255E">
              <w:rPr>
                <w:highlight w:val="green"/>
              </w:rPr>
              <w:t>@</w:t>
            </w:r>
            <w:r w:rsidR="0012461D">
              <w:rPr>
                <w:highlight w:val="green"/>
              </w:rPr>
              <w:t xml:space="preserve"> </w:t>
            </w:r>
            <w:proofErr w:type="spellStart"/>
            <w:r w:rsidR="0012461D">
              <w:rPr>
                <w:highlight w:val="green"/>
              </w:rPr>
              <w:t>Landeplatz</w:t>
            </w:r>
            <w:proofErr w:type="spellEnd"/>
            <w:r w:rsidR="0012461D">
              <w:rPr>
                <w:highlight w:val="green"/>
              </w:rPr>
              <w:t xml:space="preserve"> </w:t>
            </w:r>
            <w:proofErr w:type="spellStart"/>
            <w:r w:rsidR="0012461D">
              <w:rPr>
                <w:highlight w:val="green"/>
              </w:rPr>
              <w:t>Wingert</w:t>
            </w:r>
            <w:proofErr w:type="spellEnd"/>
            <w:r>
              <w:rPr>
                <w:highlight w:val="green"/>
              </w:rPr>
              <w:t>.</w:t>
            </w:r>
          </w:p>
          <w:p w:rsidR="003E456F" w:rsidRPr="00323D80" w:rsidRDefault="00323D80" w:rsidP="00323D80">
            <w:pPr>
              <w:rPr>
                <w:highlight w:val="yellow"/>
              </w:rPr>
            </w:pPr>
            <w:r w:rsidRPr="00CD4F34">
              <w:rPr>
                <w:highlight w:val="yellow"/>
              </w:rPr>
              <w:t xml:space="preserve">Hofer </w:t>
            </w:r>
            <w:r w:rsidR="002C056C" w:rsidRPr="00CD4F34">
              <w:rPr>
                <w:highlight w:val="yellow"/>
              </w:rPr>
              <w:t>reti</w:t>
            </w:r>
            <w:r w:rsidR="002C056C" w:rsidRPr="00F56F79">
              <w:rPr>
                <w:highlight w:val="yellow"/>
              </w:rPr>
              <w:t xml:space="preserve">red due to family reasons and </w:t>
            </w:r>
            <w:r w:rsidR="00CD4F34">
              <w:rPr>
                <w:highlight w:val="yellow"/>
              </w:rPr>
              <w:t xml:space="preserve">an </w:t>
            </w:r>
            <w:r w:rsidR="002C056C" w:rsidRPr="00F56F79">
              <w:rPr>
                <w:highlight w:val="yellow"/>
              </w:rPr>
              <w:t xml:space="preserve">alternative </w:t>
            </w:r>
            <w:r w:rsidR="00CD4F34">
              <w:rPr>
                <w:highlight w:val="yellow"/>
              </w:rPr>
              <w:t xml:space="preserve">job </w:t>
            </w:r>
            <w:r w:rsidR="002C056C" w:rsidRPr="00F56F79">
              <w:rPr>
                <w:highlight w:val="yellow"/>
              </w:rPr>
              <w:t>offer</w:t>
            </w:r>
            <w:r>
              <w:rPr>
                <w:highlight w:val="yellow"/>
              </w:rPr>
              <w:t>.</w:t>
            </w:r>
          </w:p>
        </w:tc>
        <w:tc>
          <w:tcPr>
            <w:tcW w:w="2268" w:type="dxa"/>
          </w:tcPr>
          <w:p w:rsidR="00A63616" w:rsidRDefault="00A63616">
            <w:r>
              <w:t xml:space="preserve">Disability and health technology in society </w:t>
            </w:r>
            <w:proofErr w:type="gramStart"/>
            <w:r>
              <w:t>is planned</w:t>
            </w:r>
            <w:proofErr w:type="gramEnd"/>
            <w:r>
              <w:t xml:space="preserve"> for ca. 2028.</w:t>
            </w:r>
          </w:p>
          <w:p w:rsidR="002C056C" w:rsidRPr="00A63616" w:rsidRDefault="002C056C" w:rsidP="00A63616"/>
        </w:tc>
      </w:tr>
      <w:tr w:rsidR="002C056C" w:rsidTr="003E456F">
        <w:tc>
          <w:tcPr>
            <w:tcW w:w="3117" w:type="dxa"/>
          </w:tcPr>
          <w:p w:rsidR="002C056C" w:rsidRDefault="007260FD">
            <w:r>
              <w:t>Direct hiring of women</w:t>
            </w:r>
          </w:p>
        </w:tc>
        <w:tc>
          <w:tcPr>
            <w:tcW w:w="3966" w:type="dxa"/>
          </w:tcPr>
          <w:p w:rsidR="002C056C" w:rsidRDefault="003E456F" w:rsidP="0034284F">
            <w:r w:rsidRPr="00F56F79">
              <w:rPr>
                <w:highlight w:val="yellow"/>
              </w:rPr>
              <w:t xml:space="preserve">The process spanned an unreasonable amount of time due to </w:t>
            </w:r>
            <w:proofErr w:type="spellStart"/>
            <w:r w:rsidRPr="00F56F79">
              <w:rPr>
                <w:highlight w:val="yellow"/>
              </w:rPr>
              <w:t>Co</w:t>
            </w:r>
            <w:r w:rsidR="00B80D1E">
              <w:rPr>
                <w:highlight w:val="yellow"/>
              </w:rPr>
              <w:t>vid</w:t>
            </w:r>
            <w:proofErr w:type="spellEnd"/>
            <w:r w:rsidRPr="00F56F79">
              <w:rPr>
                <w:highlight w:val="yellow"/>
              </w:rPr>
              <w:t xml:space="preserve"> and the decision to make in-person presentation. </w:t>
            </w:r>
            <w:r w:rsidR="0034284F">
              <w:rPr>
                <w:highlight w:val="yellow"/>
              </w:rPr>
              <w:t>T</w:t>
            </w:r>
            <w:r w:rsidRPr="00F56F79">
              <w:rPr>
                <w:highlight w:val="yellow"/>
              </w:rPr>
              <w:t>wo candidates</w:t>
            </w:r>
            <w:r w:rsidR="0034284F">
              <w:rPr>
                <w:highlight w:val="yellow"/>
              </w:rPr>
              <w:t xml:space="preserve"> made it through the entire process</w:t>
            </w:r>
            <w:r w:rsidRPr="00F56F79">
              <w:rPr>
                <w:highlight w:val="yellow"/>
              </w:rPr>
              <w:t xml:space="preserve">, and </w:t>
            </w:r>
            <w:r w:rsidRPr="003E456F">
              <w:rPr>
                <w:highlight w:val="yellow"/>
              </w:rPr>
              <w:t xml:space="preserve">one </w:t>
            </w:r>
            <w:r w:rsidR="0034284F">
              <w:rPr>
                <w:highlight w:val="yellow"/>
              </w:rPr>
              <w:t xml:space="preserve">endorsed </w:t>
            </w:r>
            <w:r w:rsidRPr="003E456F">
              <w:rPr>
                <w:highlight w:val="yellow"/>
              </w:rPr>
              <w:t>by the department</w:t>
            </w:r>
            <w:r>
              <w:t>.</w:t>
            </w:r>
          </w:p>
        </w:tc>
        <w:tc>
          <w:tcPr>
            <w:tcW w:w="2268" w:type="dxa"/>
          </w:tcPr>
          <w:p w:rsidR="002C056C" w:rsidRDefault="003E456F" w:rsidP="003E456F">
            <w:r>
              <w:t xml:space="preserve">Discussions in </w:t>
            </w:r>
            <w:r w:rsidR="006A3C4F">
              <w:t xml:space="preserve">the </w:t>
            </w:r>
            <w:r w:rsidR="0034284F">
              <w:t xml:space="preserve">professorial </w:t>
            </w:r>
            <w:r>
              <w:t>diversity workshop and DA suggest amendments f</w:t>
            </w:r>
            <w:r w:rsidR="006A3C4F">
              <w:t>or future direct hiring processes</w:t>
            </w:r>
          </w:p>
        </w:tc>
      </w:tr>
      <w:tr w:rsidR="002C056C" w:rsidTr="003E456F">
        <w:tc>
          <w:tcPr>
            <w:tcW w:w="3117" w:type="dxa"/>
          </w:tcPr>
          <w:p w:rsidR="002C056C" w:rsidRDefault="003E456F" w:rsidP="003E456F">
            <w:r>
              <w:t>Profile papers should verify that a sufficient number of excellent women candidates is available</w:t>
            </w:r>
          </w:p>
        </w:tc>
        <w:tc>
          <w:tcPr>
            <w:tcW w:w="3966" w:type="dxa"/>
          </w:tcPr>
          <w:p w:rsidR="002C056C" w:rsidRPr="003E456F" w:rsidRDefault="003E456F">
            <w:pPr>
              <w:rPr>
                <w:highlight w:val="green"/>
              </w:rPr>
            </w:pPr>
            <w:r w:rsidRPr="003E456F">
              <w:rPr>
                <w:highlight w:val="green"/>
              </w:rPr>
              <w:t>Implemented successfully</w:t>
            </w:r>
          </w:p>
        </w:tc>
        <w:tc>
          <w:tcPr>
            <w:tcW w:w="2268" w:type="dxa"/>
          </w:tcPr>
          <w:p w:rsidR="002C056C" w:rsidRDefault="002C056C"/>
        </w:tc>
      </w:tr>
      <w:tr w:rsidR="002C056C" w:rsidTr="003E456F">
        <w:tc>
          <w:tcPr>
            <w:tcW w:w="3117" w:type="dxa"/>
          </w:tcPr>
          <w:p w:rsidR="002C056C" w:rsidRDefault="003E456F" w:rsidP="00B80D1E">
            <w:r>
              <w:t xml:space="preserve">Department head and contact person </w:t>
            </w:r>
            <w:r w:rsidR="006A3C4F">
              <w:t xml:space="preserve">of appointment committees </w:t>
            </w:r>
            <w:r>
              <w:t>should proactively contact women candidates</w:t>
            </w:r>
            <w:r w:rsidR="00B329A6">
              <w:t xml:space="preserve"> (as described in a written guide</w:t>
            </w:r>
            <w:r w:rsidR="00C74FAE">
              <w:t>)</w:t>
            </w:r>
            <w:r w:rsidR="006A3C4F">
              <w:t xml:space="preserve">, and explain </w:t>
            </w:r>
            <w:r w:rsidR="00B80D1E">
              <w:t xml:space="preserve">GESS </w:t>
            </w:r>
            <w:r w:rsidR="006A3C4F">
              <w:t xml:space="preserve">gender strategy to </w:t>
            </w:r>
            <w:r w:rsidR="00B80D1E">
              <w:t xml:space="preserve">search </w:t>
            </w:r>
            <w:r w:rsidR="006A3C4F">
              <w:t>committee</w:t>
            </w:r>
            <w:r w:rsidR="00B80D1E">
              <w:t>s</w:t>
            </w:r>
            <w:r w:rsidR="00674561">
              <w:t xml:space="preserve">. </w:t>
            </w:r>
          </w:p>
        </w:tc>
        <w:tc>
          <w:tcPr>
            <w:tcW w:w="3966" w:type="dxa"/>
          </w:tcPr>
          <w:p w:rsidR="002C056C" w:rsidRDefault="007260FD" w:rsidP="00C74FAE">
            <w:r w:rsidRPr="00C74FAE">
              <w:rPr>
                <w:highlight w:val="green"/>
              </w:rPr>
              <w:t>Implement</w:t>
            </w:r>
            <w:r w:rsidR="00B329A6" w:rsidRPr="00C74FAE">
              <w:rPr>
                <w:highlight w:val="green"/>
              </w:rPr>
              <w:t>ed</w:t>
            </w:r>
            <w:r w:rsidR="00B329A6">
              <w:t xml:space="preserve">, </w:t>
            </w:r>
            <w:r w:rsidR="00C74FAE" w:rsidRPr="00B80D1E">
              <w:rPr>
                <w:highlight w:val="red"/>
              </w:rPr>
              <w:t>except for the written guide</w:t>
            </w:r>
            <w:r w:rsidR="00B329A6">
              <w:t>.</w:t>
            </w:r>
          </w:p>
        </w:tc>
        <w:tc>
          <w:tcPr>
            <w:tcW w:w="2268" w:type="dxa"/>
          </w:tcPr>
          <w:p w:rsidR="002C056C" w:rsidRDefault="00C74FAE" w:rsidP="0034284F">
            <w:r>
              <w:t>See recruitment measures below.</w:t>
            </w:r>
          </w:p>
        </w:tc>
      </w:tr>
    </w:tbl>
    <w:p w:rsidR="0034284F" w:rsidRDefault="0034284F">
      <w:r>
        <w:br w:type="page"/>
      </w:r>
    </w:p>
    <w:tbl>
      <w:tblPr>
        <w:tblStyle w:val="TableGrid"/>
        <w:tblW w:w="9351" w:type="dxa"/>
        <w:tblLook w:val="04A0" w:firstRow="1" w:lastRow="0" w:firstColumn="1" w:lastColumn="0" w:noHBand="0" w:noVBand="1"/>
      </w:tblPr>
      <w:tblGrid>
        <w:gridCol w:w="3117"/>
        <w:gridCol w:w="3966"/>
        <w:gridCol w:w="2268"/>
      </w:tblGrid>
      <w:tr w:rsidR="002C056C" w:rsidTr="003E456F">
        <w:tc>
          <w:tcPr>
            <w:tcW w:w="3117" w:type="dxa"/>
          </w:tcPr>
          <w:p w:rsidR="002C056C" w:rsidRPr="007260FD" w:rsidRDefault="007260FD">
            <w:pPr>
              <w:rPr>
                <w:b/>
                <w:bCs/>
              </w:rPr>
            </w:pPr>
            <w:r>
              <w:rPr>
                <w:b/>
                <w:bCs/>
              </w:rPr>
              <w:lastRenderedPageBreak/>
              <w:t>Other measures</w:t>
            </w:r>
          </w:p>
        </w:tc>
        <w:tc>
          <w:tcPr>
            <w:tcW w:w="3966" w:type="dxa"/>
          </w:tcPr>
          <w:p w:rsidR="002C056C" w:rsidRDefault="002C056C"/>
        </w:tc>
        <w:tc>
          <w:tcPr>
            <w:tcW w:w="2268" w:type="dxa"/>
          </w:tcPr>
          <w:p w:rsidR="002C056C" w:rsidRDefault="002C056C"/>
        </w:tc>
      </w:tr>
      <w:tr w:rsidR="007260FD" w:rsidTr="003E456F">
        <w:tc>
          <w:tcPr>
            <w:tcW w:w="3117" w:type="dxa"/>
          </w:tcPr>
          <w:p w:rsidR="007260FD" w:rsidRDefault="007260FD">
            <w:pPr>
              <w:rPr>
                <w:b/>
                <w:bCs/>
              </w:rPr>
            </w:pPr>
            <w:r>
              <w:t>Exit survey of women leaving the department to investigate causes f</w:t>
            </w:r>
            <w:r w:rsidR="006A3C4F">
              <w:t>or gender imbalance</w:t>
            </w:r>
          </w:p>
        </w:tc>
        <w:tc>
          <w:tcPr>
            <w:tcW w:w="3966" w:type="dxa"/>
          </w:tcPr>
          <w:p w:rsidR="007260FD" w:rsidRDefault="007260FD" w:rsidP="0034284F">
            <w:r w:rsidRPr="007260FD">
              <w:rPr>
                <w:highlight w:val="yellow"/>
              </w:rPr>
              <w:t xml:space="preserve">Implemented </w:t>
            </w:r>
            <w:r w:rsidR="00CD4F34">
              <w:rPr>
                <w:highlight w:val="yellow"/>
              </w:rPr>
              <w:t>over 10/20-6/21. R</w:t>
            </w:r>
            <w:r w:rsidRPr="007260FD">
              <w:rPr>
                <w:highlight w:val="yellow"/>
              </w:rPr>
              <w:t>esults</w:t>
            </w:r>
            <w:r w:rsidRPr="00CD4F34">
              <w:rPr>
                <w:highlight w:val="yellow"/>
              </w:rPr>
              <w:t xml:space="preserve"> not analyzed</w:t>
            </w:r>
            <w:r w:rsidR="00CD4F34" w:rsidRPr="00CD4F34">
              <w:rPr>
                <w:highlight w:val="yellow"/>
              </w:rPr>
              <w:t xml:space="preserve"> due to low </w:t>
            </w:r>
            <w:r w:rsidR="0034284F">
              <w:rPr>
                <w:highlight w:val="yellow"/>
              </w:rPr>
              <w:t xml:space="preserve">number of </w:t>
            </w:r>
            <w:r w:rsidR="00CD4F34" w:rsidRPr="00CD4F34">
              <w:rPr>
                <w:highlight w:val="yellow"/>
              </w:rPr>
              <w:t>response</w:t>
            </w:r>
            <w:r w:rsidR="0034284F">
              <w:rPr>
                <w:highlight w:val="yellow"/>
              </w:rPr>
              <w:t>s</w:t>
            </w:r>
            <w:r w:rsidR="00CD4F34" w:rsidRPr="00CD4F34">
              <w:rPr>
                <w:highlight w:val="yellow"/>
              </w:rPr>
              <w:t>.</w:t>
            </w:r>
          </w:p>
        </w:tc>
        <w:tc>
          <w:tcPr>
            <w:tcW w:w="2268" w:type="dxa"/>
          </w:tcPr>
          <w:p w:rsidR="007260FD" w:rsidRDefault="007260FD" w:rsidP="00CD4F34">
            <w:r>
              <w:t xml:space="preserve">To be re-implemented </w:t>
            </w:r>
            <w:r w:rsidR="00CD4F34">
              <w:t xml:space="preserve">and extended </w:t>
            </w:r>
            <w:r>
              <w:t>in the context of future survey</w:t>
            </w:r>
            <w:r w:rsidR="00CD4F34">
              <w:t>s</w:t>
            </w:r>
            <w:r>
              <w:t xml:space="preserve"> (see below)</w:t>
            </w:r>
          </w:p>
        </w:tc>
      </w:tr>
      <w:tr w:rsidR="007260FD" w:rsidTr="003E456F">
        <w:tc>
          <w:tcPr>
            <w:tcW w:w="3117" w:type="dxa"/>
          </w:tcPr>
          <w:p w:rsidR="007260FD" w:rsidRPr="007260FD" w:rsidRDefault="007260FD">
            <w:r>
              <w:t>Annual round table to discuss gender and structural discrimination issues</w:t>
            </w:r>
          </w:p>
        </w:tc>
        <w:tc>
          <w:tcPr>
            <w:tcW w:w="3966" w:type="dxa"/>
          </w:tcPr>
          <w:p w:rsidR="007260FD" w:rsidRPr="007260FD" w:rsidRDefault="007260FD" w:rsidP="007260FD">
            <w:pPr>
              <w:rPr>
                <w:highlight w:val="yellow"/>
              </w:rPr>
            </w:pPr>
            <w:r w:rsidRPr="007260FD">
              <w:rPr>
                <w:highlight w:val="yellow"/>
              </w:rPr>
              <w:t>Implemented only once so far, results were not integrated into policy interventions</w:t>
            </w:r>
          </w:p>
        </w:tc>
        <w:tc>
          <w:tcPr>
            <w:tcW w:w="2268" w:type="dxa"/>
          </w:tcPr>
          <w:p w:rsidR="007260FD" w:rsidRDefault="007260FD" w:rsidP="00B80D1E">
            <w:r>
              <w:t xml:space="preserve">To be </w:t>
            </w:r>
            <w:r w:rsidR="002D7A08">
              <w:t>re-</w:t>
            </w:r>
            <w:r>
              <w:t xml:space="preserve">implemented </w:t>
            </w:r>
            <w:r w:rsidR="006A3C4F">
              <w:t>from</w:t>
            </w:r>
            <w:r>
              <w:t xml:space="preserve"> </w:t>
            </w:r>
            <w:r w:rsidR="006A3C4F">
              <w:t>20</w:t>
            </w:r>
            <w:r>
              <w:t>22-</w:t>
            </w:r>
            <w:r w:rsidR="006A3C4F">
              <w:t>20</w:t>
            </w:r>
            <w:r>
              <w:t>23</w:t>
            </w:r>
            <w:r w:rsidR="006A3C4F">
              <w:t xml:space="preserve"> and results included in overall information </w:t>
            </w:r>
            <w:r w:rsidR="00B80D1E">
              <w:t>gathering</w:t>
            </w:r>
            <w:r w:rsidR="006A3C4F">
              <w:t xml:space="preserve"> (see below)</w:t>
            </w:r>
          </w:p>
        </w:tc>
      </w:tr>
      <w:tr w:rsidR="007260FD" w:rsidTr="003E456F">
        <w:tc>
          <w:tcPr>
            <w:tcW w:w="3117" w:type="dxa"/>
          </w:tcPr>
          <w:p w:rsidR="007260FD" w:rsidRDefault="007260FD">
            <w:pPr>
              <w:rPr>
                <w:b/>
                <w:bCs/>
              </w:rPr>
            </w:pPr>
            <w:r>
              <w:t>Formation of a contact point for discrimination and harassment</w:t>
            </w:r>
          </w:p>
        </w:tc>
        <w:tc>
          <w:tcPr>
            <w:tcW w:w="3966" w:type="dxa"/>
          </w:tcPr>
          <w:p w:rsidR="007260FD" w:rsidRDefault="007260FD" w:rsidP="006A3C4F">
            <w:r w:rsidRPr="007260FD">
              <w:rPr>
                <w:highlight w:val="green"/>
              </w:rPr>
              <w:t xml:space="preserve">Implemented as </w:t>
            </w:r>
            <w:proofErr w:type="spellStart"/>
            <w:r w:rsidRPr="007260FD">
              <w:rPr>
                <w:highlight w:val="green"/>
              </w:rPr>
              <w:t>Help!Point</w:t>
            </w:r>
            <w:proofErr w:type="spellEnd"/>
            <w:r w:rsidRPr="007260FD">
              <w:rPr>
                <w:highlight w:val="green"/>
              </w:rPr>
              <w:t>;</w:t>
            </w:r>
            <w:r>
              <w:t xml:space="preserve"> </w:t>
            </w:r>
            <w:r w:rsidRPr="007260FD">
              <w:rPr>
                <w:highlight w:val="yellow"/>
              </w:rPr>
              <w:t xml:space="preserve">very, very few </w:t>
            </w:r>
            <w:r w:rsidR="006A3C4F">
              <w:rPr>
                <w:highlight w:val="yellow"/>
              </w:rPr>
              <w:t>cases</w:t>
            </w:r>
            <w:r w:rsidRPr="007260FD">
              <w:rPr>
                <w:highlight w:val="yellow"/>
              </w:rPr>
              <w:t>, probably due to lack of awareness and/or trust</w:t>
            </w:r>
          </w:p>
        </w:tc>
        <w:tc>
          <w:tcPr>
            <w:tcW w:w="2268" w:type="dxa"/>
          </w:tcPr>
          <w:p w:rsidR="007260FD" w:rsidRDefault="007260FD">
            <w:r>
              <w:t>Measures to increase visibility will include a new website, posters and info-screens</w:t>
            </w:r>
          </w:p>
        </w:tc>
      </w:tr>
      <w:tr w:rsidR="007260FD" w:rsidTr="003E456F">
        <w:tc>
          <w:tcPr>
            <w:tcW w:w="3117" w:type="dxa"/>
          </w:tcPr>
          <w:p w:rsidR="007260FD" w:rsidRDefault="007260FD" w:rsidP="006A3C4F">
            <w:pPr>
              <w:rPr>
                <w:b/>
                <w:bCs/>
              </w:rPr>
            </w:pPr>
            <w:r>
              <w:t xml:space="preserve">The department will examine </w:t>
            </w:r>
            <w:r w:rsidR="00B80D1E">
              <w:t xml:space="preserve">the </w:t>
            </w:r>
            <w:r>
              <w:t xml:space="preserve">range of courses with regard to gender and consider </w:t>
            </w:r>
            <w:r w:rsidR="00F56F79">
              <w:t xml:space="preserve">better </w:t>
            </w:r>
            <w:r>
              <w:t>incorporat</w:t>
            </w:r>
            <w:r w:rsidR="00F56F79">
              <w:t>ion of</w:t>
            </w:r>
            <w:r>
              <w:t xml:space="preserve"> gender aspects </w:t>
            </w:r>
            <w:r w:rsidR="000B613C">
              <w:t>in curriculum</w:t>
            </w:r>
          </w:p>
        </w:tc>
        <w:tc>
          <w:tcPr>
            <w:tcW w:w="3966" w:type="dxa"/>
          </w:tcPr>
          <w:p w:rsidR="007260FD" w:rsidRDefault="00F56F79" w:rsidP="0075306F">
            <w:r w:rsidRPr="00F56F79">
              <w:rPr>
                <w:highlight w:val="red"/>
              </w:rPr>
              <w:t>Not implemented</w:t>
            </w:r>
            <w:r>
              <w:t xml:space="preserve">, </w:t>
            </w:r>
            <w:r w:rsidRPr="00F56F79">
              <w:rPr>
                <w:highlight w:val="yellow"/>
              </w:rPr>
              <w:t xml:space="preserve">except in </w:t>
            </w:r>
            <w:proofErr w:type="spellStart"/>
            <w:r w:rsidRPr="00F56F79">
              <w:rPr>
                <w:highlight w:val="yellow"/>
              </w:rPr>
              <w:t>SWiSH’s</w:t>
            </w:r>
            <w:proofErr w:type="spellEnd"/>
            <w:r w:rsidRPr="00F56F79">
              <w:rPr>
                <w:highlight w:val="yellow"/>
              </w:rPr>
              <w:t xml:space="preserve"> </w:t>
            </w:r>
            <w:r w:rsidR="0075306F">
              <w:rPr>
                <w:highlight w:val="yellow"/>
              </w:rPr>
              <w:t>gender</w:t>
            </w:r>
            <w:r w:rsidRPr="00F56F79">
              <w:rPr>
                <w:highlight w:val="yellow"/>
              </w:rPr>
              <w:t xml:space="preserve"> and science lecture series</w:t>
            </w:r>
          </w:p>
        </w:tc>
        <w:tc>
          <w:tcPr>
            <w:tcW w:w="2268" w:type="dxa"/>
          </w:tcPr>
          <w:p w:rsidR="007260FD" w:rsidRDefault="00B022D0" w:rsidP="00B022D0">
            <w:r>
              <w:t xml:space="preserve">List of diversity related courses </w:t>
            </w:r>
            <w:proofErr w:type="gramStart"/>
            <w:r>
              <w:t>will</w:t>
            </w:r>
            <w:proofErr w:type="gramEnd"/>
            <w:r>
              <w:t xml:space="preserve"> be available online as of HS 2022. </w:t>
            </w:r>
            <w:proofErr w:type="gramStart"/>
            <w:r>
              <w:t xml:space="preserve">Further </w:t>
            </w:r>
            <w:r w:rsidR="00F56F79">
              <w:t xml:space="preserve"> suggestions</w:t>
            </w:r>
            <w:proofErr w:type="gramEnd"/>
            <w:r w:rsidR="00F56F79">
              <w:t xml:space="preserve"> to UKs </w:t>
            </w:r>
            <w:r>
              <w:t xml:space="preserve">and teachers </w:t>
            </w:r>
            <w:r w:rsidR="00F56F79">
              <w:t>below</w:t>
            </w:r>
            <w:r>
              <w:t>.</w:t>
            </w:r>
          </w:p>
        </w:tc>
      </w:tr>
      <w:tr w:rsidR="007260FD" w:rsidTr="003E456F">
        <w:tc>
          <w:tcPr>
            <w:tcW w:w="3117" w:type="dxa"/>
          </w:tcPr>
          <w:p w:rsidR="007260FD" w:rsidRDefault="00F56F79">
            <w:pPr>
              <w:rPr>
                <w:b/>
                <w:bCs/>
              </w:rPr>
            </w:pPr>
            <w:r>
              <w:t>Adoption of the inclusive language guidelines</w:t>
            </w:r>
          </w:p>
        </w:tc>
        <w:tc>
          <w:tcPr>
            <w:tcW w:w="3966" w:type="dxa"/>
          </w:tcPr>
          <w:p w:rsidR="007260FD" w:rsidRDefault="00F56F79">
            <w:r w:rsidRPr="00F56F79">
              <w:rPr>
                <w:highlight w:val="green"/>
              </w:rPr>
              <w:t>Implemented successfully, as far as I can see.</w:t>
            </w:r>
          </w:p>
        </w:tc>
        <w:tc>
          <w:tcPr>
            <w:tcW w:w="2268" w:type="dxa"/>
          </w:tcPr>
          <w:p w:rsidR="007260FD" w:rsidRDefault="007260FD"/>
        </w:tc>
      </w:tr>
      <w:tr w:rsidR="007260FD" w:rsidTr="003E456F">
        <w:tc>
          <w:tcPr>
            <w:tcW w:w="3117" w:type="dxa"/>
          </w:tcPr>
          <w:p w:rsidR="007260FD" w:rsidRDefault="00F56F79" w:rsidP="00F56F79">
            <w:pPr>
              <w:rPr>
                <w:b/>
                <w:bCs/>
              </w:rPr>
            </w:pPr>
            <w:r>
              <w:t>In cases of maternity leaves, clear arrangements should be made for specifying research involvement during the leave and gradual reintegration</w:t>
            </w:r>
          </w:p>
        </w:tc>
        <w:tc>
          <w:tcPr>
            <w:tcW w:w="3966" w:type="dxa"/>
          </w:tcPr>
          <w:p w:rsidR="007260FD" w:rsidRDefault="00F56F79">
            <w:r w:rsidRPr="00F56F79">
              <w:rPr>
                <w:highlight w:val="yellow"/>
              </w:rPr>
              <w:t xml:space="preserve">No information is available on </w:t>
            </w:r>
            <w:r w:rsidR="00B80D1E">
              <w:rPr>
                <w:highlight w:val="yellow"/>
              </w:rPr>
              <w:t xml:space="preserve">actual </w:t>
            </w:r>
            <w:r w:rsidRPr="00F56F79">
              <w:rPr>
                <w:highlight w:val="yellow"/>
              </w:rPr>
              <w:t>implementation</w:t>
            </w:r>
          </w:p>
        </w:tc>
        <w:tc>
          <w:tcPr>
            <w:tcW w:w="2268" w:type="dxa"/>
          </w:tcPr>
          <w:p w:rsidR="007260FD" w:rsidRDefault="00F56F79" w:rsidP="004F1E9D">
            <w:r>
              <w:t xml:space="preserve">Charlotte </w:t>
            </w:r>
            <w:proofErr w:type="spellStart"/>
            <w:r>
              <w:t>Meisner</w:t>
            </w:r>
            <w:proofErr w:type="spellEnd"/>
            <w:r>
              <w:t xml:space="preserve"> </w:t>
            </w:r>
            <w:r w:rsidR="006A3C4F">
              <w:t>in contact with HR, may</w:t>
            </w:r>
            <w:r>
              <w:t xml:space="preserve"> proactively con</w:t>
            </w:r>
            <w:r w:rsidR="006A3C4F">
              <w:t xml:space="preserve">tact </w:t>
            </w:r>
            <w:r w:rsidR="004F1E9D">
              <w:t>staff</w:t>
            </w:r>
            <w:r w:rsidR="006A3C4F">
              <w:t xml:space="preserve"> going on </w:t>
            </w:r>
            <w:r>
              <w:t>leave to verify implementation</w:t>
            </w:r>
          </w:p>
        </w:tc>
      </w:tr>
      <w:tr w:rsidR="007260FD" w:rsidTr="003E456F">
        <w:tc>
          <w:tcPr>
            <w:tcW w:w="3117" w:type="dxa"/>
          </w:tcPr>
          <w:p w:rsidR="007260FD" w:rsidRDefault="00F56F79" w:rsidP="00F56F79">
            <w:pPr>
              <w:rPr>
                <w:b/>
                <w:bCs/>
              </w:rPr>
            </w:pPr>
            <w:r>
              <w:t>Supplement GESS course evaluation questionnaire with inclusion questions</w:t>
            </w:r>
          </w:p>
        </w:tc>
        <w:tc>
          <w:tcPr>
            <w:tcW w:w="3966" w:type="dxa"/>
          </w:tcPr>
          <w:p w:rsidR="007260FD" w:rsidRDefault="00B80D1E" w:rsidP="00B80D1E">
            <w:r>
              <w:rPr>
                <w:highlight w:val="green"/>
              </w:rPr>
              <w:t>Respect</w:t>
            </w:r>
            <w:r w:rsidR="00C74FAE">
              <w:rPr>
                <w:highlight w:val="green"/>
              </w:rPr>
              <w:t xml:space="preserve"> question implemented as planned</w:t>
            </w:r>
            <w:r>
              <w:rPr>
                <w:highlight w:val="green"/>
              </w:rPr>
              <w:t>;</w:t>
            </w:r>
            <w:r w:rsidR="00C74FAE">
              <w:rPr>
                <w:highlight w:val="green"/>
              </w:rPr>
              <w:t xml:space="preserve"> results were highly positive (and </w:t>
            </w:r>
            <w:r>
              <w:rPr>
                <w:highlight w:val="green"/>
              </w:rPr>
              <w:t>so</w:t>
            </w:r>
            <w:r w:rsidR="00C74FAE">
              <w:rPr>
                <w:highlight w:val="green"/>
              </w:rPr>
              <w:t xml:space="preserve"> deemed uninformative). Revised </w:t>
            </w:r>
            <w:r w:rsidR="00AE3DF4">
              <w:rPr>
                <w:highlight w:val="green"/>
              </w:rPr>
              <w:t xml:space="preserve">diversity and inclusion </w:t>
            </w:r>
            <w:r w:rsidR="00C74FAE">
              <w:rPr>
                <w:highlight w:val="green"/>
              </w:rPr>
              <w:t>q</w:t>
            </w:r>
            <w:r w:rsidR="00F56F79" w:rsidRPr="00F56F79">
              <w:rPr>
                <w:highlight w:val="green"/>
              </w:rPr>
              <w:t>uesti</w:t>
            </w:r>
            <w:r>
              <w:rPr>
                <w:highlight w:val="green"/>
              </w:rPr>
              <w:t xml:space="preserve">ons approved by </w:t>
            </w:r>
            <w:proofErr w:type="spellStart"/>
            <w:r>
              <w:rPr>
                <w:highlight w:val="green"/>
              </w:rPr>
              <w:t>SiP</w:t>
            </w:r>
            <w:proofErr w:type="spellEnd"/>
            <w:r>
              <w:rPr>
                <w:highlight w:val="green"/>
              </w:rPr>
              <w:t xml:space="preserve"> UK in 2021</w:t>
            </w:r>
            <w:r>
              <w:t>.</w:t>
            </w:r>
          </w:p>
        </w:tc>
        <w:tc>
          <w:tcPr>
            <w:tcW w:w="2268" w:type="dxa"/>
          </w:tcPr>
          <w:p w:rsidR="007260FD" w:rsidRDefault="00B80D1E">
            <w:r>
              <w:t xml:space="preserve">New questions </w:t>
            </w:r>
            <w:r w:rsidRPr="00B80D1E">
              <w:t>to be im</w:t>
            </w:r>
            <w:r>
              <w:t>plemented as of academic year 22-</w:t>
            </w:r>
            <w:r w:rsidRPr="00B80D1E">
              <w:t xml:space="preserve">23 </w:t>
            </w:r>
            <w:r>
              <w:t>(no course evaluation in 21-</w:t>
            </w:r>
            <w:r w:rsidRPr="00B80D1E">
              <w:t>22)</w:t>
            </w:r>
          </w:p>
        </w:tc>
      </w:tr>
      <w:tr w:rsidR="00F56F79" w:rsidTr="003E456F">
        <w:tc>
          <w:tcPr>
            <w:tcW w:w="3117" w:type="dxa"/>
          </w:tcPr>
          <w:p w:rsidR="00F56F79" w:rsidRDefault="00F56F79" w:rsidP="00F56F79">
            <w:r>
              <w:t>Annual review of GAP implementation at beginning of academic year</w:t>
            </w:r>
          </w:p>
        </w:tc>
        <w:tc>
          <w:tcPr>
            <w:tcW w:w="3966" w:type="dxa"/>
          </w:tcPr>
          <w:p w:rsidR="00F56F79" w:rsidRPr="00F56F79" w:rsidRDefault="00CD4F34" w:rsidP="00CD4F34">
            <w:pPr>
              <w:rPr>
                <w:highlight w:val="green"/>
              </w:rPr>
            </w:pPr>
            <w:r w:rsidRPr="00CD4F34">
              <w:rPr>
                <w:highlight w:val="yellow"/>
              </w:rPr>
              <w:t xml:space="preserve">One </w:t>
            </w:r>
            <w:r>
              <w:rPr>
                <w:highlight w:val="yellow"/>
              </w:rPr>
              <w:t>partial</w:t>
            </w:r>
            <w:r w:rsidRPr="00CD4F34">
              <w:rPr>
                <w:highlight w:val="yellow"/>
              </w:rPr>
              <w:t xml:space="preserve"> report in 2020</w:t>
            </w:r>
          </w:p>
        </w:tc>
        <w:tc>
          <w:tcPr>
            <w:tcW w:w="2268" w:type="dxa"/>
          </w:tcPr>
          <w:p w:rsidR="00F56F79" w:rsidRDefault="00CD4F34" w:rsidP="00CD4F34">
            <w:r>
              <w:t>Regular reports will follow</w:t>
            </w:r>
          </w:p>
        </w:tc>
      </w:tr>
    </w:tbl>
    <w:p w:rsidR="002D7A08" w:rsidRDefault="002D7A08" w:rsidP="009C263A"/>
    <w:p w:rsidR="002D7A08" w:rsidRDefault="002D7A08">
      <w:r>
        <w:br w:type="page"/>
      </w:r>
    </w:p>
    <w:p w:rsidR="003E456F" w:rsidRPr="006A3C4F" w:rsidRDefault="002D7A08" w:rsidP="006A3C4F">
      <w:pPr>
        <w:pStyle w:val="ListParagraph"/>
        <w:numPr>
          <w:ilvl w:val="0"/>
          <w:numId w:val="16"/>
        </w:numPr>
        <w:rPr>
          <w:b/>
          <w:bCs/>
          <w:u w:val="single"/>
        </w:rPr>
      </w:pPr>
      <w:r w:rsidRPr="006A3C4F">
        <w:rPr>
          <w:b/>
          <w:bCs/>
          <w:u w:val="single"/>
        </w:rPr>
        <w:lastRenderedPageBreak/>
        <w:t>Present activities and future plans to improve Wellbeing, Inclusion, Diversity and Equity (WIDE)</w:t>
      </w:r>
    </w:p>
    <w:p w:rsidR="002D7A08" w:rsidRDefault="002D7A08" w:rsidP="002D7A08">
      <w:pPr>
        <w:rPr>
          <w:u w:val="single"/>
        </w:rPr>
      </w:pPr>
      <w:r>
        <w:rPr>
          <w:u w:val="single"/>
        </w:rPr>
        <w:t>Professorial appointment</w:t>
      </w:r>
      <w:r w:rsidRPr="002D7A08">
        <w:rPr>
          <w:u w:val="single"/>
        </w:rPr>
        <w:t xml:space="preserve"> committees</w:t>
      </w:r>
    </w:p>
    <w:p w:rsidR="002D7A08" w:rsidRPr="006552B6" w:rsidRDefault="002D7A08" w:rsidP="00714C19">
      <w:r>
        <w:t xml:space="preserve">The diversity unit of the ETH is trying to initiate a process for more inclusive </w:t>
      </w:r>
      <w:r w:rsidR="00714C19">
        <w:t xml:space="preserve">professorial </w:t>
      </w:r>
      <w:r w:rsidR="006A3C4F">
        <w:t>appointment processes</w:t>
      </w:r>
      <w:r>
        <w:t xml:space="preserve">. Various measures in that direction </w:t>
      </w:r>
      <w:proofErr w:type="gramStart"/>
      <w:r>
        <w:t>were discussed</w:t>
      </w:r>
      <w:proofErr w:type="gramEnd"/>
      <w:r>
        <w:t xml:space="preserve"> in various contexts</w:t>
      </w:r>
      <w:r w:rsidR="006A3C4F">
        <w:t xml:space="preserve"> in the department</w:t>
      </w:r>
      <w:r w:rsidR="00702759">
        <w:t xml:space="preserve">. </w:t>
      </w:r>
      <w:r w:rsidR="00702759" w:rsidRPr="00702759">
        <w:t xml:space="preserve">Since search committees are not </w:t>
      </w:r>
      <w:r w:rsidR="006A3C4F">
        <w:t>under the jurisdiction of the department</w:t>
      </w:r>
      <w:r w:rsidR="00702759" w:rsidRPr="00702759">
        <w:t xml:space="preserve">, we can only recommend measures. </w:t>
      </w:r>
      <w:r w:rsidR="00DD251F" w:rsidRPr="006552B6">
        <w:t>I</w:t>
      </w:r>
      <w:r w:rsidR="00702759" w:rsidRPr="006552B6">
        <w:t xml:space="preserve"> will meet with </w:t>
      </w:r>
      <w:r w:rsidR="00DD251F" w:rsidRPr="006552B6">
        <w:t xml:space="preserve">GESS representatives </w:t>
      </w:r>
      <w:r w:rsidR="00702759" w:rsidRPr="006552B6">
        <w:t xml:space="preserve">of </w:t>
      </w:r>
      <w:r w:rsidR="00714C19">
        <w:t>appointment</w:t>
      </w:r>
      <w:r w:rsidR="00702759" w:rsidRPr="006552B6">
        <w:t xml:space="preserve"> committees</w:t>
      </w:r>
      <w:r w:rsidR="00DD251F" w:rsidRPr="006552B6">
        <w:t xml:space="preserve"> </w:t>
      </w:r>
      <w:r w:rsidR="00702759" w:rsidRPr="006552B6">
        <w:t xml:space="preserve">and suggest best practices and resources, which the committees will be free to endorse or </w:t>
      </w:r>
      <w:r w:rsidR="00714C19">
        <w:t>ignor</w:t>
      </w:r>
      <w:r w:rsidR="00702759" w:rsidRPr="006552B6">
        <w:t>e.</w:t>
      </w:r>
    </w:p>
    <w:p w:rsidR="00702759" w:rsidRPr="00714C19" w:rsidRDefault="00702759" w:rsidP="00714C19">
      <w:r>
        <w:t xml:space="preserve">The calls for application, however, are under the department’s jurisdiction. </w:t>
      </w:r>
      <w:r w:rsidR="00714C19">
        <w:t xml:space="preserve">Unclear calls </w:t>
      </w:r>
      <w:proofErr w:type="gramStart"/>
      <w:r w:rsidR="00714C19">
        <w:t>are biased</w:t>
      </w:r>
      <w:proofErr w:type="gramEnd"/>
      <w:r w:rsidR="00714C19">
        <w:t xml:space="preserve"> towards applicants with local connections and those coming from similar institutions, as they are more like to successfully “read between the lines”. Moreover, vague criteria allow committee members to make criteria up as they go along in a biased manner. Another element missing from current appointment processes is a discussion of applicant’s potential contribution to WIDE issues. </w:t>
      </w:r>
      <w:r>
        <w:t>I therefore propose the following measures:</w:t>
      </w:r>
    </w:p>
    <w:p w:rsidR="002D7A08" w:rsidRPr="002D7A08" w:rsidRDefault="00714C19" w:rsidP="00DD251F">
      <w:pPr>
        <w:pStyle w:val="ListParagraph"/>
        <w:numPr>
          <w:ilvl w:val="0"/>
          <w:numId w:val="2"/>
        </w:numPr>
        <w:rPr>
          <w:u w:val="single"/>
        </w:rPr>
      </w:pPr>
      <w:r>
        <w:t>C</w:t>
      </w:r>
      <w:r w:rsidR="002D7A08">
        <w:t>alls for applications should be as clear as possible concerning expectations, requirements and evaluation criteria</w:t>
      </w:r>
      <w:r w:rsidR="00702759">
        <w:t>, without over-specifying the profiles to the extent of diminishing the applicant pool</w:t>
      </w:r>
      <w:r w:rsidR="002D7A08">
        <w:t xml:space="preserve">. </w:t>
      </w:r>
      <w:r w:rsidR="00702759">
        <w:t>In addition, t</w:t>
      </w:r>
      <w:r w:rsidR="002D7A08">
        <w:t xml:space="preserve">erms like “research statement” and “academic </w:t>
      </w:r>
      <w:r w:rsidR="00A33C0C">
        <w:t xml:space="preserve">age” </w:t>
      </w:r>
      <w:proofErr w:type="gramStart"/>
      <w:r w:rsidR="00A33C0C">
        <w:t xml:space="preserve">should </w:t>
      </w:r>
      <w:r w:rsidR="002D7A08">
        <w:t>be clearly explained</w:t>
      </w:r>
      <w:proofErr w:type="gramEnd"/>
      <w:r w:rsidR="002D7A08">
        <w:t>. To keep the official call short, detail</w:t>
      </w:r>
      <w:r w:rsidR="00702759">
        <w:t>ed information</w:t>
      </w:r>
      <w:r w:rsidR="002D7A08">
        <w:t xml:space="preserve"> </w:t>
      </w:r>
      <w:proofErr w:type="gramStart"/>
      <w:r w:rsidR="002D7A08">
        <w:t xml:space="preserve">can be </w:t>
      </w:r>
      <w:r w:rsidR="00DD251F">
        <w:t>provided</w:t>
      </w:r>
      <w:proofErr w:type="gramEnd"/>
      <w:r w:rsidR="00DD251F">
        <w:t xml:space="preserve"> in a linked </w:t>
      </w:r>
      <w:r w:rsidR="002D7A08">
        <w:t>webpage.</w:t>
      </w:r>
    </w:p>
    <w:p w:rsidR="002D7A08" w:rsidRDefault="002D7A08" w:rsidP="00DD251F">
      <w:pPr>
        <w:pStyle w:val="ListParagraph"/>
        <w:numPr>
          <w:ilvl w:val="0"/>
          <w:numId w:val="2"/>
        </w:numPr>
      </w:pPr>
      <w:r>
        <w:t xml:space="preserve">Applicants </w:t>
      </w:r>
      <w:proofErr w:type="gramStart"/>
      <w:r>
        <w:t>should be asked</w:t>
      </w:r>
      <w:proofErr w:type="gramEnd"/>
      <w:r>
        <w:t xml:space="preserve"> to submit a </w:t>
      </w:r>
      <w:r w:rsidRPr="002D7A08">
        <w:rPr>
          <w:i/>
          <w:iCs/>
        </w:rPr>
        <w:t>WIDE statement</w:t>
      </w:r>
      <w:r>
        <w:t xml:space="preserve">. A Well-being, Inclusion, Diversity and Equity (WIDE) statement is a </w:t>
      </w:r>
      <w:proofErr w:type="gramStart"/>
      <w:r>
        <w:t>one page</w:t>
      </w:r>
      <w:proofErr w:type="gramEnd"/>
      <w:r>
        <w:t xml:space="preserve"> document that explains the applicant</w:t>
      </w:r>
      <w:r w:rsidR="00A33C0C">
        <w:t>’</w:t>
      </w:r>
      <w:r>
        <w:t xml:space="preserve">s potential contribution to the WIDE-ness of the GESS department. It should explain how the applicant's background, personal experiences and/or professional experience </w:t>
      </w:r>
      <w:proofErr w:type="gramStart"/>
      <w:r>
        <w:t>will</w:t>
      </w:r>
      <w:proofErr w:type="gramEnd"/>
      <w:r>
        <w:t xml:space="preserve"> support departmental WIDE-ness in contexts of mentoring, teaching, research and/or departmental culture.</w:t>
      </w:r>
    </w:p>
    <w:p w:rsidR="00C74FAE" w:rsidRDefault="00C74FAE" w:rsidP="00A33C0C">
      <w:pPr>
        <w:pStyle w:val="ListParagraph"/>
        <w:numPr>
          <w:ilvl w:val="0"/>
          <w:numId w:val="2"/>
        </w:numPr>
      </w:pPr>
      <w:r>
        <w:t xml:space="preserve">A guide concerning </w:t>
      </w:r>
      <w:r w:rsidR="00A33C0C">
        <w:t xml:space="preserve">appointment committees should be created, and include measures for </w:t>
      </w:r>
      <w:r>
        <w:t>proactively contacting women candidates</w:t>
      </w:r>
      <w:r w:rsidR="00A33C0C">
        <w:t>, as stipulated by the GAP</w:t>
      </w:r>
      <w:r>
        <w:t>.</w:t>
      </w:r>
    </w:p>
    <w:p w:rsidR="002D7A08" w:rsidRDefault="002D7A08" w:rsidP="00DD251F"/>
    <w:p w:rsidR="00DD251F" w:rsidRDefault="00DD251F" w:rsidP="00DD251F">
      <w:pPr>
        <w:rPr>
          <w:u w:val="single"/>
        </w:rPr>
      </w:pPr>
      <w:r>
        <w:rPr>
          <w:u w:val="single"/>
        </w:rPr>
        <w:t>The WIDE group</w:t>
      </w:r>
    </w:p>
    <w:p w:rsidR="00DD251F" w:rsidRDefault="00DD251F" w:rsidP="00DD251F">
      <w:r>
        <w:t>The WIDE group is a voluntary and open group for discussing the department’s WIDE issue</w:t>
      </w:r>
      <w:r w:rsidR="00714C19">
        <w:t xml:space="preserve"> and initiating action</w:t>
      </w:r>
      <w:r>
        <w:t xml:space="preserve">. </w:t>
      </w:r>
      <w:proofErr w:type="gramStart"/>
      <w:r>
        <w:t xml:space="preserve">It is coordinated by Charlotte </w:t>
      </w:r>
      <w:proofErr w:type="spellStart"/>
      <w:r>
        <w:t>Meisner</w:t>
      </w:r>
      <w:proofErr w:type="spellEnd"/>
      <w:r>
        <w:t xml:space="preserve"> (20% FTE) and Roy Wagner (the department’s GDA)</w:t>
      </w:r>
      <w:proofErr w:type="gramEnd"/>
      <w:r>
        <w:t>.</w:t>
      </w:r>
    </w:p>
    <w:p w:rsidR="0055658E" w:rsidRDefault="00DD251F" w:rsidP="00424932">
      <w:pPr>
        <w:pStyle w:val="ListParagraph"/>
        <w:numPr>
          <w:ilvl w:val="0"/>
          <w:numId w:val="4"/>
        </w:numPr>
      </w:pPr>
      <w:r>
        <w:t xml:space="preserve">For the next academic year, we hope to </w:t>
      </w:r>
      <w:r w:rsidR="0055658E">
        <w:t>set up a regular core of members representing the various sections of the department</w:t>
      </w:r>
      <w:r w:rsidR="00AA6E17">
        <w:t>,</w:t>
      </w:r>
      <w:r w:rsidR="0055658E">
        <w:t xml:space="preserve"> who will </w:t>
      </w:r>
      <w:r w:rsidR="00AA6E17">
        <w:t>commit</w:t>
      </w:r>
      <w:r w:rsidR="0055658E">
        <w:t xml:space="preserve"> to participat</w:t>
      </w:r>
      <w:r w:rsidR="00AA6E17">
        <w:t>e</w:t>
      </w:r>
      <w:r w:rsidR="0055658E">
        <w:t xml:space="preserve"> in regular monthly meetings.</w:t>
      </w:r>
      <w:r w:rsidR="00AA6E17">
        <w:t xml:space="preserve"> </w:t>
      </w:r>
      <w:r w:rsidR="0055658E">
        <w:t>The group will continue to be open to everyone on a voluntary</w:t>
      </w:r>
      <w:r w:rsidR="00AA6E17">
        <w:t>, ad-hoc</w:t>
      </w:r>
      <w:r w:rsidR="0055658E">
        <w:t xml:space="preserve"> basis.</w:t>
      </w:r>
    </w:p>
    <w:p w:rsidR="0055658E" w:rsidRDefault="0055658E" w:rsidP="0055658E">
      <w:pPr>
        <w:pStyle w:val="ListParagraph"/>
        <w:numPr>
          <w:ilvl w:val="0"/>
          <w:numId w:val="4"/>
        </w:numPr>
      </w:pPr>
      <w:r>
        <w:t>The GDA will initiate annual reviews of their work by the ETH diversity unit</w:t>
      </w:r>
      <w:r w:rsidR="00B022D0">
        <w:t>.</w:t>
      </w:r>
    </w:p>
    <w:p w:rsidR="0055658E" w:rsidRDefault="0055658E" w:rsidP="00AA6E17">
      <w:pPr>
        <w:pStyle w:val="ListParagraph"/>
        <w:numPr>
          <w:ilvl w:val="0"/>
          <w:numId w:val="4"/>
        </w:numPr>
      </w:pPr>
      <w:r>
        <w:t xml:space="preserve">A budget framework for WIDE related activities </w:t>
      </w:r>
      <w:proofErr w:type="gramStart"/>
      <w:r>
        <w:t>is being negotiated</w:t>
      </w:r>
      <w:proofErr w:type="gramEnd"/>
      <w:r>
        <w:t xml:space="preserve">. However, each expense will have to </w:t>
      </w:r>
      <w:proofErr w:type="gramStart"/>
      <w:r>
        <w:t>be approved</w:t>
      </w:r>
      <w:proofErr w:type="gramEnd"/>
      <w:r>
        <w:t xml:space="preserve"> individually by the relevant authorit</w:t>
      </w:r>
      <w:r w:rsidR="00AA6E17">
        <w:t>ies</w:t>
      </w:r>
      <w:r>
        <w:t xml:space="preserve"> (administration, DA or DK). </w:t>
      </w:r>
    </w:p>
    <w:p w:rsidR="0055658E" w:rsidRDefault="0055658E" w:rsidP="0055658E"/>
    <w:p w:rsidR="0055658E" w:rsidRDefault="0055658E" w:rsidP="0055658E">
      <w:pPr>
        <w:rPr>
          <w:u w:val="single"/>
        </w:rPr>
      </w:pPr>
      <w:r>
        <w:rPr>
          <w:u w:val="single"/>
        </w:rPr>
        <w:t xml:space="preserve">The </w:t>
      </w:r>
      <w:proofErr w:type="spellStart"/>
      <w:r>
        <w:rPr>
          <w:u w:val="single"/>
        </w:rPr>
        <w:t>Help</w:t>
      </w:r>
      <w:proofErr w:type="gramStart"/>
      <w:r>
        <w:rPr>
          <w:u w:val="single"/>
        </w:rPr>
        <w:t>!Point</w:t>
      </w:r>
      <w:proofErr w:type="spellEnd"/>
      <w:proofErr w:type="gramEnd"/>
    </w:p>
    <w:p w:rsidR="00AD07D0" w:rsidRPr="0055658E" w:rsidRDefault="00AD07D0" w:rsidP="00AD07D0">
      <w:r w:rsidRPr="00AD07D0">
        <w:t xml:space="preserve">The </w:t>
      </w:r>
      <w:proofErr w:type="spellStart"/>
      <w:r w:rsidRPr="00AD07D0">
        <w:t>Help</w:t>
      </w:r>
      <w:proofErr w:type="gramStart"/>
      <w:r w:rsidRPr="00AD07D0">
        <w:t>!Point</w:t>
      </w:r>
      <w:proofErr w:type="spellEnd"/>
      <w:proofErr w:type="gramEnd"/>
      <w:r w:rsidRPr="00AD07D0">
        <w:t xml:space="preserve"> has recruited some new members: in addition to two members from the administrative and technical staff, a post-doc as well as a professor are now part of the H!P. People seeking advice can decide for themselves </w:t>
      </w:r>
      <w:proofErr w:type="gramStart"/>
      <w:r w:rsidRPr="00AD07D0">
        <w:t>who</w:t>
      </w:r>
      <w:proofErr w:type="gramEnd"/>
      <w:r w:rsidRPr="00AD07D0">
        <w:t xml:space="preserve"> to contact. Furthermore, the H</w:t>
      </w:r>
      <w:proofErr w:type="gramStart"/>
      <w:r w:rsidRPr="00AD07D0">
        <w:t>!P</w:t>
      </w:r>
      <w:proofErr w:type="gramEnd"/>
      <w:r w:rsidRPr="00AD07D0">
        <w:t xml:space="preserve"> </w:t>
      </w:r>
      <w:r>
        <w:t xml:space="preserve">is </w:t>
      </w:r>
      <w:r w:rsidRPr="00AD07D0">
        <w:t>rethink</w:t>
      </w:r>
      <w:r>
        <w:t>ing</w:t>
      </w:r>
      <w:r w:rsidRPr="00AD07D0">
        <w:t xml:space="preserve"> internal procedures and revises posters, website, mission-statement, flyers, communication with ASST etc.</w:t>
      </w:r>
    </w:p>
    <w:p w:rsidR="00DD251F" w:rsidRDefault="0055658E" w:rsidP="0055658E">
      <w:pPr>
        <w:rPr>
          <w:u w:val="single"/>
        </w:rPr>
      </w:pPr>
      <w:r>
        <w:rPr>
          <w:u w:val="single"/>
        </w:rPr>
        <w:lastRenderedPageBreak/>
        <w:t>WIDE i</w:t>
      </w:r>
      <w:r w:rsidR="00DD251F">
        <w:rPr>
          <w:u w:val="single"/>
        </w:rPr>
        <w:t>nformation gathering</w:t>
      </w:r>
    </w:p>
    <w:p w:rsidR="00DD251F" w:rsidRDefault="00DD251F" w:rsidP="00DD251F">
      <w:r w:rsidRPr="00DD251F">
        <w:t>Currently</w:t>
      </w:r>
      <w:r>
        <w:t xml:space="preserve">, there are several efforts to collect WIDE related information: the employee survey, the ASST survey, the </w:t>
      </w:r>
      <w:proofErr w:type="spellStart"/>
      <w:r>
        <w:t>GESSWho</w:t>
      </w:r>
      <w:proofErr w:type="spellEnd"/>
      <w:r>
        <w:t>! Survey, WIDE related questions in GESS course evaluation questionnaire, and the exit survey. Further sources of information i</w:t>
      </w:r>
      <w:r w:rsidR="00721813">
        <w:t>nclude an annual round table,</w:t>
      </w:r>
      <w:r>
        <w:t xml:space="preserve"> the report of the </w:t>
      </w:r>
      <w:proofErr w:type="spellStart"/>
      <w:r>
        <w:t>Help</w:t>
      </w:r>
      <w:proofErr w:type="gramStart"/>
      <w:r>
        <w:t>!Point</w:t>
      </w:r>
      <w:proofErr w:type="spellEnd"/>
      <w:proofErr w:type="gramEnd"/>
      <w:r w:rsidR="00721813">
        <w:t xml:space="preserve"> and informal </w:t>
      </w:r>
      <w:proofErr w:type="spellStart"/>
      <w:r w:rsidR="00721813">
        <w:t>aperos</w:t>
      </w:r>
      <w:proofErr w:type="spellEnd"/>
      <w:r w:rsidR="00721813">
        <w:t xml:space="preserve">/lunches with </w:t>
      </w:r>
      <w:r w:rsidR="004C0647">
        <w:t xml:space="preserve">the </w:t>
      </w:r>
      <w:r w:rsidR="00721813">
        <w:t>GDA</w:t>
      </w:r>
      <w:r>
        <w:t xml:space="preserve">. </w:t>
      </w:r>
      <w:proofErr w:type="gramStart"/>
      <w:r>
        <w:t>Future plans</w:t>
      </w:r>
      <w:proofErr w:type="gramEnd"/>
      <w:r>
        <w:t xml:space="preserve"> include</w:t>
      </w:r>
    </w:p>
    <w:p w:rsidR="00DD251F" w:rsidRDefault="00DD251F" w:rsidP="004C0647">
      <w:pPr>
        <w:pStyle w:val="ListParagraph"/>
        <w:numPr>
          <w:ilvl w:val="0"/>
          <w:numId w:val="3"/>
        </w:numPr>
      </w:pPr>
      <w:r>
        <w:t>Setting up a working group to stre</w:t>
      </w:r>
      <w:r w:rsidR="004C0647">
        <w:t>a</w:t>
      </w:r>
      <w:r>
        <w:t xml:space="preserve">mline the surveys and decide on </w:t>
      </w:r>
      <w:r w:rsidR="004C0647">
        <w:t xml:space="preserve">their </w:t>
      </w:r>
      <w:r>
        <w:t>periodicity</w:t>
      </w:r>
      <w:r w:rsidR="00B022D0">
        <w:t>.</w:t>
      </w:r>
    </w:p>
    <w:p w:rsidR="00DD251F" w:rsidRDefault="00DD251F" w:rsidP="00DD251F">
      <w:pPr>
        <w:pStyle w:val="ListParagraph"/>
        <w:numPr>
          <w:ilvl w:val="0"/>
          <w:numId w:val="3"/>
        </w:numPr>
      </w:pPr>
      <w:r>
        <w:t xml:space="preserve">Considering a diversity entry survey, which will include closed questions </w:t>
      </w:r>
      <w:r w:rsidR="004C0647">
        <w:t xml:space="preserve">on personal identity </w:t>
      </w:r>
      <w:r>
        <w:t>and/or an open diversity statement</w:t>
      </w:r>
      <w:r w:rsidR="00A33C0C">
        <w:t xml:space="preserve"> (to be coordinated with </w:t>
      </w:r>
      <w:proofErr w:type="spellStart"/>
      <w:r w:rsidR="00A33C0C">
        <w:t>KdL</w:t>
      </w:r>
      <w:proofErr w:type="spellEnd"/>
      <w:r w:rsidR="00A33C0C">
        <w:t xml:space="preserve"> initiative)</w:t>
      </w:r>
      <w:r w:rsidR="00B022D0">
        <w:t>.</w:t>
      </w:r>
    </w:p>
    <w:p w:rsidR="00DD251F" w:rsidRDefault="00DD251F" w:rsidP="00DD251F">
      <w:pPr>
        <w:pStyle w:val="ListParagraph"/>
        <w:numPr>
          <w:ilvl w:val="0"/>
          <w:numId w:val="3"/>
        </w:numPr>
      </w:pPr>
      <w:r>
        <w:t xml:space="preserve">Allocating resources to implement and </w:t>
      </w:r>
      <w:proofErr w:type="gramStart"/>
      <w:r>
        <w:t>meta-</w:t>
      </w:r>
      <w:proofErr w:type="gramEnd"/>
      <w:r>
        <w:t>analyze the various surveys</w:t>
      </w:r>
      <w:r w:rsidR="00B022D0">
        <w:t>.</w:t>
      </w:r>
    </w:p>
    <w:p w:rsidR="0055658E" w:rsidRDefault="0055658E" w:rsidP="0055658E"/>
    <w:p w:rsidR="0055658E" w:rsidRDefault="0055658E" w:rsidP="0055658E">
      <w:pPr>
        <w:rPr>
          <w:u w:val="single"/>
        </w:rPr>
      </w:pPr>
      <w:r>
        <w:rPr>
          <w:u w:val="single"/>
        </w:rPr>
        <w:t xml:space="preserve">Inclusive </w:t>
      </w:r>
      <w:proofErr w:type="gramStart"/>
      <w:r>
        <w:rPr>
          <w:u w:val="single"/>
        </w:rPr>
        <w:t>decision making</w:t>
      </w:r>
      <w:proofErr w:type="gramEnd"/>
      <w:r w:rsidR="0018244B">
        <w:rPr>
          <w:u w:val="single"/>
        </w:rPr>
        <w:t xml:space="preserve"> and inclusive culture</w:t>
      </w:r>
    </w:p>
    <w:p w:rsidR="006552B6" w:rsidRDefault="0055658E" w:rsidP="006552B6">
      <w:r>
        <w:t xml:space="preserve">In 2004, the DK consisted of 50% professors and 50% non-professors (lecturers, scientific staff, students, administration and others). Over the </w:t>
      </w:r>
      <w:proofErr w:type="gramStart"/>
      <w:r>
        <w:t>years</w:t>
      </w:r>
      <w:proofErr w:type="gramEnd"/>
      <w:r w:rsidR="006552B6">
        <w:t xml:space="preserve"> the share of non-professors went down as low as 32%, and today it stands at 41%. </w:t>
      </w:r>
    </w:p>
    <w:p w:rsidR="0055658E" w:rsidRPr="006552B6" w:rsidRDefault="006552B6" w:rsidP="006552B6">
      <w:pPr>
        <w:pStyle w:val="ListParagraph"/>
        <w:numPr>
          <w:ilvl w:val="0"/>
          <w:numId w:val="6"/>
        </w:numPr>
        <w:rPr>
          <w:u w:val="single"/>
        </w:rPr>
      </w:pPr>
      <w:r>
        <w:t>The department should de</w:t>
      </w:r>
      <w:r w:rsidR="004C0647">
        <w:t>cide on fixed ratio</w:t>
      </w:r>
      <w:r>
        <w:t xml:space="preserve"> brackets for the composition of the DK. </w:t>
      </w:r>
    </w:p>
    <w:p w:rsidR="006552B6" w:rsidRPr="006552B6" w:rsidRDefault="006552B6" w:rsidP="004C0647">
      <w:pPr>
        <w:pStyle w:val="ListParagraph"/>
        <w:numPr>
          <w:ilvl w:val="0"/>
          <w:numId w:val="6"/>
        </w:numPr>
        <w:rPr>
          <w:u w:val="single"/>
        </w:rPr>
      </w:pPr>
      <w:r>
        <w:t xml:space="preserve">Further measures for improving inclusive </w:t>
      </w:r>
      <w:proofErr w:type="gramStart"/>
      <w:r>
        <w:t>decision making</w:t>
      </w:r>
      <w:proofErr w:type="gramEnd"/>
      <w:r>
        <w:t xml:space="preserve"> </w:t>
      </w:r>
      <w:r w:rsidR="0018244B">
        <w:t xml:space="preserve">and inclusive culture </w:t>
      </w:r>
      <w:r>
        <w:t xml:space="preserve">are </w:t>
      </w:r>
      <w:r w:rsidR="004C0647">
        <w:t>proposed</w:t>
      </w:r>
      <w:r>
        <w:t xml:space="preserve"> in the suggestions to the head of the department</w:t>
      </w:r>
      <w:r w:rsidR="0018244B">
        <w:t xml:space="preserve"> and professors</w:t>
      </w:r>
      <w:r w:rsidR="00B022D0">
        <w:t>.</w:t>
      </w:r>
    </w:p>
    <w:p w:rsidR="006552B6" w:rsidRDefault="006552B6" w:rsidP="006552B6">
      <w:pPr>
        <w:rPr>
          <w:u w:val="single"/>
        </w:rPr>
      </w:pPr>
    </w:p>
    <w:p w:rsidR="006552B6" w:rsidRDefault="006552B6" w:rsidP="006552B6">
      <w:pPr>
        <w:rPr>
          <w:u w:val="single"/>
        </w:rPr>
      </w:pPr>
      <w:r>
        <w:rPr>
          <w:u w:val="single"/>
        </w:rPr>
        <w:t>Working conditions</w:t>
      </w:r>
    </w:p>
    <w:p w:rsidR="006552B6" w:rsidRDefault="006552B6" w:rsidP="004F1E9D">
      <w:r>
        <w:t xml:space="preserve">The duration of work contracts </w:t>
      </w:r>
      <w:proofErr w:type="gramStart"/>
      <w:r>
        <w:t>has been signaled</w:t>
      </w:r>
      <w:proofErr w:type="gramEnd"/>
      <w:r>
        <w:t xml:space="preserve"> as a major </w:t>
      </w:r>
      <w:r w:rsidR="004C0647">
        <w:t>stress factor</w:t>
      </w:r>
      <w:r>
        <w:t xml:space="preserve"> by scientific staff. The department has rules about the duration of employment contracts, but these rules are hard to enforce.</w:t>
      </w:r>
      <w:r w:rsidR="001C78C7">
        <w:t xml:space="preserve"> Other issues include </w:t>
      </w:r>
      <w:r w:rsidR="004F1E9D">
        <w:t>doctoral</w:t>
      </w:r>
      <w:r w:rsidR="00E47962">
        <w:t xml:space="preserve"> student salaries, the </w:t>
      </w:r>
      <w:r w:rsidR="001C78C7">
        <w:t xml:space="preserve">enforcement of GAP recommendations on maternity leave (see GAP report above), </w:t>
      </w:r>
      <w:r w:rsidR="004C0647">
        <w:t xml:space="preserve">issues of </w:t>
      </w:r>
      <w:r w:rsidR="001C78C7">
        <w:t>work/life balance</w:t>
      </w:r>
      <w:r w:rsidR="0075306F">
        <w:t xml:space="preserve"> and wellbeing</w:t>
      </w:r>
      <w:r w:rsidR="001C78C7">
        <w:t xml:space="preserve">, and support for </w:t>
      </w:r>
      <w:r w:rsidR="004F1E9D">
        <w:t>staff</w:t>
      </w:r>
      <w:r w:rsidR="001C78C7">
        <w:t xml:space="preserve"> with children.</w:t>
      </w:r>
    </w:p>
    <w:p w:rsidR="006552B6" w:rsidRDefault="004C0647" w:rsidP="006552B6">
      <w:pPr>
        <w:pStyle w:val="ListParagraph"/>
        <w:numPr>
          <w:ilvl w:val="0"/>
          <w:numId w:val="7"/>
        </w:numPr>
      </w:pPr>
      <w:r>
        <w:t>A</w:t>
      </w:r>
      <w:r w:rsidR="006552B6">
        <w:t xml:space="preserve">dministrators are now required to report to Stefan </w:t>
      </w:r>
      <w:proofErr w:type="spellStart"/>
      <w:r w:rsidR="006552B6">
        <w:t>Karlen</w:t>
      </w:r>
      <w:proofErr w:type="spellEnd"/>
      <w:r w:rsidR="006552B6">
        <w:t xml:space="preserve"> contracts of less than 18 months </w:t>
      </w:r>
      <w:r w:rsidR="00061719">
        <w:t xml:space="preserve">(duration of first PhD contract) </w:t>
      </w:r>
      <w:r>
        <w:t xml:space="preserve">in order </w:t>
      </w:r>
      <w:r w:rsidR="006552B6">
        <w:t>to verify compliance.</w:t>
      </w:r>
    </w:p>
    <w:p w:rsidR="001C78C7" w:rsidRDefault="001C78C7" w:rsidP="00E47962">
      <w:pPr>
        <w:pStyle w:val="ListParagraph"/>
        <w:numPr>
          <w:ilvl w:val="0"/>
          <w:numId w:val="7"/>
        </w:numPr>
      </w:pPr>
      <w:r>
        <w:t xml:space="preserve">Charlotte </w:t>
      </w:r>
      <w:proofErr w:type="spellStart"/>
      <w:r>
        <w:t>Meisner</w:t>
      </w:r>
      <w:proofErr w:type="spellEnd"/>
      <w:r>
        <w:t xml:space="preserve"> will work with HR to guarantee implementation of </w:t>
      </w:r>
      <w:r w:rsidR="004C0647">
        <w:t>measure</w:t>
      </w:r>
      <w:r>
        <w:t>s on maternity leave</w:t>
      </w:r>
      <w:r w:rsidR="00B022D0">
        <w:t>.</w:t>
      </w:r>
    </w:p>
    <w:p w:rsidR="0075306F" w:rsidRDefault="001C78C7" w:rsidP="0075306F">
      <w:pPr>
        <w:pStyle w:val="ListParagraph"/>
        <w:numPr>
          <w:ilvl w:val="0"/>
          <w:numId w:val="7"/>
        </w:numPr>
      </w:pPr>
      <w:r>
        <w:t>Professors should clarify their expectations concerning working hours (41 weekly hours</w:t>
      </w:r>
      <w:r w:rsidR="004C0647">
        <w:t xml:space="preserve"> per FTE according to ETH policy</w:t>
      </w:r>
      <w:r>
        <w:t xml:space="preserve">) and </w:t>
      </w:r>
      <w:r w:rsidR="004C0647">
        <w:t xml:space="preserve">concerning </w:t>
      </w:r>
      <w:r>
        <w:t>email exchange outside working hours (e.g. ban on non-urgent emails outside working hours, or not expecting people to re</w:t>
      </w:r>
      <w:r w:rsidR="004C0647">
        <w:t xml:space="preserve">ad and/or respond to </w:t>
      </w:r>
      <w:r w:rsidR="00E47962">
        <w:t xml:space="preserve">emails </w:t>
      </w:r>
      <w:r>
        <w:t>outside working hours).</w:t>
      </w:r>
    </w:p>
    <w:p w:rsidR="0075306F" w:rsidRDefault="0075306F" w:rsidP="0075306F">
      <w:pPr>
        <w:pStyle w:val="ListParagraph"/>
        <w:numPr>
          <w:ilvl w:val="0"/>
          <w:numId w:val="7"/>
        </w:numPr>
      </w:pPr>
      <w:r>
        <w:t xml:space="preserve">ASST is developing some best practice suggestion following up on their wellbeing survey </w:t>
      </w:r>
    </w:p>
    <w:p w:rsidR="001C78C7" w:rsidRDefault="001C78C7" w:rsidP="004C0647">
      <w:pPr>
        <w:pStyle w:val="ListParagraph"/>
        <w:numPr>
          <w:ilvl w:val="0"/>
          <w:numId w:val="7"/>
        </w:numPr>
      </w:pPr>
      <w:r>
        <w:t xml:space="preserve">In 2022-2023, the GDA or WIDE will try to poll working parents to check </w:t>
      </w:r>
      <w:r w:rsidR="004C0647">
        <w:t>needs beyond available ETH support</w:t>
      </w:r>
      <w:r>
        <w:t>.</w:t>
      </w:r>
    </w:p>
    <w:p w:rsidR="00E47962" w:rsidRDefault="00E47962" w:rsidP="004F1E9D">
      <w:pPr>
        <w:pStyle w:val="ListParagraph"/>
        <w:numPr>
          <w:ilvl w:val="0"/>
          <w:numId w:val="7"/>
        </w:numPr>
      </w:pPr>
      <w:r>
        <w:t xml:space="preserve">ASST is initiating discussions on </w:t>
      </w:r>
      <w:r w:rsidR="004F1E9D">
        <w:t>doctoral</w:t>
      </w:r>
      <w:r>
        <w:t xml:space="preserve"> student salaries.</w:t>
      </w:r>
    </w:p>
    <w:p w:rsidR="001C78C7" w:rsidRDefault="001C78C7" w:rsidP="001C78C7">
      <w:pPr>
        <w:rPr>
          <w:u w:val="single"/>
        </w:rPr>
      </w:pPr>
    </w:p>
    <w:p w:rsidR="001C78C7" w:rsidRDefault="001C78C7" w:rsidP="001C78C7">
      <w:pPr>
        <w:rPr>
          <w:u w:val="single"/>
        </w:rPr>
      </w:pPr>
      <w:r>
        <w:rPr>
          <w:u w:val="single"/>
        </w:rPr>
        <w:t>Professional support for staff</w:t>
      </w:r>
    </w:p>
    <w:p w:rsidR="001C78C7" w:rsidRDefault="001C78C7" w:rsidP="0018244B">
      <w:r>
        <w:t xml:space="preserve">The ASST survey clearly indicated that our scientific staff </w:t>
      </w:r>
      <w:r w:rsidR="008B215E">
        <w:t>desires</w:t>
      </w:r>
      <w:r>
        <w:t xml:space="preserve"> </w:t>
      </w:r>
      <w:r w:rsidR="008B215E">
        <w:t>closer</w:t>
      </w:r>
      <w:r>
        <w:t xml:space="preserve"> mentoring. </w:t>
      </w:r>
    </w:p>
    <w:p w:rsidR="008B215E" w:rsidRDefault="004C0647" w:rsidP="00B022D0">
      <w:pPr>
        <w:pStyle w:val="ListParagraph"/>
        <w:numPr>
          <w:ilvl w:val="0"/>
          <w:numId w:val="9"/>
        </w:numPr>
      </w:pPr>
      <w:r>
        <w:t>B</w:t>
      </w:r>
      <w:r w:rsidR="008B215E">
        <w:t xml:space="preserve">est practices </w:t>
      </w:r>
      <w:proofErr w:type="gramStart"/>
      <w:r w:rsidR="008B215E">
        <w:t xml:space="preserve">are </w:t>
      </w:r>
      <w:r w:rsidR="00B022D0">
        <w:t>proposed</w:t>
      </w:r>
      <w:proofErr w:type="gramEnd"/>
      <w:r w:rsidR="008B215E">
        <w:t xml:space="preserve"> in </w:t>
      </w:r>
      <w:r w:rsidR="00B022D0">
        <w:t xml:space="preserve">the </w:t>
      </w:r>
      <w:r w:rsidR="008B215E">
        <w:t>suggestions for professors below.</w:t>
      </w:r>
      <w:r w:rsidR="00C23292">
        <w:t xml:space="preserve"> </w:t>
      </w:r>
    </w:p>
    <w:p w:rsidR="008B215E" w:rsidRPr="008B215E" w:rsidRDefault="008B215E" w:rsidP="004F1E9D">
      <w:pPr>
        <w:pStyle w:val="ListParagraph"/>
        <w:numPr>
          <w:ilvl w:val="0"/>
          <w:numId w:val="9"/>
        </w:numPr>
        <w:rPr>
          <w:i/>
          <w:iCs/>
        </w:rPr>
      </w:pPr>
      <w:r>
        <w:lastRenderedPageBreak/>
        <w:t xml:space="preserve">We are </w:t>
      </w:r>
      <w:r w:rsidR="00987835">
        <w:t>evaluating</w:t>
      </w:r>
      <w:r>
        <w:t xml:space="preserve"> the need and feasibility of buddy systems for </w:t>
      </w:r>
      <w:r w:rsidR="004F1E9D">
        <w:t>doctoral</w:t>
      </w:r>
      <w:r>
        <w:t xml:space="preserve"> and </w:t>
      </w:r>
      <w:r w:rsidR="004F1E9D">
        <w:t xml:space="preserve">master </w:t>
      </w:r>
      <w:r>
        <w:t>students, second mentor</w:t>
      </w:r>
      <w:r w:rsidR="00E47962">
        <w:t>s</w:t>
      </w:r>
      <w:r>
        <w:t xml:space="preserve"> for post-docs, </w:t>
      </w:r>
      <w:r w:rsidR="00B022D0">
        <w:t xml:space="preserve">and </w:t>
      </w:r>
      <w:r>
        <w:t>financial support by the department for personnel development.</w:t>
      </w:r>
    </w:p>
    <w:p w:rsidR="008B215E" w:rsidRDefault="008B215E" w:rsidP="008B215E">
      <w:pPr>
        <w:rPr>
          <w:u w:val="single"/>
        </w:rPr>
      </w:pPr>
    </w:p>
    <w:p w:rsidR="008B215E" w:rsidRDefault="008B215E" w:rsidP="008B215E">
      <w:pPr>
        <w:rPr>
          <w:i/>
          <w:iCs/>
        </w:rPr>
      </w:pPr>
      <w:r>
        <w:rPr>
          <w:u w:val="single"/>
        </w:rPr>
        <w:t>Diversity and inclusion among students and in the classroom</w:t>
      </w:r>
      <w:r w:rsidRPr="008B215E">
        <w:rPr>
          <w:i/>
          <w:iCs/>
        </w:rPr>
        <w:t xml:space="preserve"> </w:t>
      </w:r>
    </w:p>
    <w:p w:rsidR="008B215E" w:rsidRDefault="008B215E" w:rsidP="00987835">
      <w:r>
        <w:t>The GAP decision</w:t>
      </w:r>
      <w:r w:rsidR="00B022D0">
        <w:t>s</w:t>
      </w:r>
      <w:r>
        <w:t xml:space="preserve"> on diversity in </w:t>
      </w:r>
      <w:r w:rsidR="00B022D0">
        <w:t>the curriculum</w:t>
      </w:r>
      <w:r>
        <w:t xml:space="preserve"> </w:t>
      </w:r>
      <w:proofErr w:type="gramStart"/>
      <w:r>
        <w:t>is not implemented</w:t>
      </w:r>
      <w:proofErr w:type="gramEnd"/>
      <w:r>
        <w:t>, and no policies are in place concerning diversity and inclusion in the classroom</w:t>
      </w:r>
      <w:r w:rsidR="00987835">
        <w:t>, as far as I can tell.</w:t>
      </w:r>
    </w:p>
    <w:p w:rsidR="008B215E" w:rsidRDefault="008B215E" w:rsidP="00987835">
      <w:pPr>
        <w:pStyle w:val="ListParagraph"/>
        <w:numPr>
          <w:ilvl w:val="0"/>
          <w:numId w:val="10"/>
        </w:numPr>
      </w:pPr>
      <w:r>
        <w:t xml:space="preserve">Suggestions to teachers, professors and teaching committees </w:t>
      </w:r>
      <w:proofErr w:type="gramStart"/>
      <w:r>
        <w:t xml:space="preserve">are </w:t>
      </w:r>
      <w:r w:rsidR="00987835">
        <w:t>specifi</w:t>
      </w:r>
      <w:r>
        <w:t>ed</w:t>
      </w:r>
      <w:proofErr w:type="gramEnd"/>
      <w:r>
        <w:t xml:space="preserve"> below.</w:t>
      </w:r>
    </w:p>
    <w:p w:rsidR="008B215E" w:rsidRDefault="004F1E9D" w:rsidP="004F1E9D">
      <w:pPr>
        <w:pStyle w:val="ListParagraph"/>
        <w:numPr>
          <w:ilvl w:val="0"/>
          <w:numId w:val="10"/>
        </w:numPr>
      </w:pPr>
      <w:r>
        <w:t>The department’s (limited) f</w:t>
      </w:r>
      <w:r w:rsidR="008B215E">
        <w:t xml:space="preserve">unds for external teaching </w:t>
      </w:r>
      <w:proofErr w:type="gramStart"/>
      <w:r w:rsidR="008B215E">
        <w:t>can be used</w:t>
      </w:r>
      <w:proofErr w:type="gramEnd"/>
      <w:r w:rsidR="008B215E">
        <w:t xml:space="preserve"> to increase diversity in GESS teaching.</w:t>
      </w:r>
    </w:p>
    <w:p w:rsidR="0021620C" w:rsidRDefault="0021620C" w:rsidP="008B215E">
      <w:pPr>
        <w:pStyle w:val="ListParagraph"/>
        <w:numPr>
          <w:ilvl w:val="0"/>
          <w:numId w:val="10"/>
        </w:numPr>
      </w:pPr>
      <w:r>
        <w:t xml:space="preserve">Diversity related courses </w:t>
      </w:r>
      <w:proofErr w:type="gramStart"/>
      <w:r>
        <w:t>will</w:t>
      </w:r>
      <w:proofErr w:type="gramEnd"/>
      <w:r>
        <w:t xml:space="preserve"> be highlighted in the WIDE website as of HS 2022.</w:t>
      </w:r>
    </w:p>
    <w:p w:rsidR="008B215E" w:rsidRDefault="008B215E" w:rsidP="00B022D0">
      <w:pPr>
        <w:pStyle w:val="ListParagraph"/>
        <w:numPr>
          <w:ilvl w:val="0"/>
          <w:numId w:val="10"/>
        </w:numPr>
      </w:pPr>
      <w:r>
        <w:t xml:space="preserve">The desirability and feasibility of </w:t>
      </w:r>
      <w:r w:rsidR="00B022D0">
        <w:t>more formal</w:t>
      </w:r>
      <w:r>
        <w:t xml:space="preserve"> top-down measures is under discussion.</w:t>
      </w:r>
    </w:p>
    <w:p w:rsidR="008B215E" w:rsidRDefault="008B215E" w:rsidP="008B215E">
      <w:pPr>
        <w:pStyle w:val="ListParagraph"/>
        <w:numPr>
          <w:ilvl w:val="0"/>
          <w:numId w:val="10"/>
        </w:numPr>
      </w:pPr>
      <w:r>
        <w:t xml:space="preserve">The </w:t>
      </w:r>
      <w:r w:rsidR="004F1E9D">
        <w:t xml:space="preserve">desirability and </w:t>
      </w:r>
      <w:r>
        <w:t xml:space="preserve">feasibility of WIDE related scholarships for MA students is under discussion. </w:t>
      </w:r>
    </w:p>
    <w:p w:rsidR="008B215E" w:rsidRDefault="008B215E" w:rsidP="008B215E"/>
    <w:p w:rsidR="008B215E" w:rsidRDefault="0018244B" w:rsidP="008B215E">
      <w:pPr>
        <w:rPr>
          <w:u w:val="single"/>
        </w:rPr>
      </w:pPr>
      <w:r>
        <w:rPr>
          <w:u w:val="single"/>
        </w:rPr>
        <w:t>Departmental Cohesion and information sharing</w:t>
      </w:r>
    </w:p>
    <w:p w:rsidR="008B215E" w:rsidRDefault="0018244B" w:rsidP="00B022D0">
      <w:r>
        <w:t xml:space="preserve">Our department’s structure encourages compartmentalization, and this problem </w:t>
      </w:r>
      <w:proofErr w:type="gramStart"/>
      <w:r>
        <w:t>was exacerbated</w:t>
      </w:r>
      <w:proofErr w:type="gramEnd"/>
      <w:r>
        <w:t xml:space="preserve"> by </w:t>
      </w:r>
      <w:proofErr w:type="spellStart"/>
      <w:r>
        <w:t>Covid</w:t>
      </w:r>
      <w:proofErr w:type="spellEnd"/>
      <w:r>
        <w:t xml:space="preserve"> restrictions. In additions, while many useful workshops and services </w:t>
      </w:r>
      <w:proofErr w:type="gramStart"/>
      <w:r>
        <w:t>are offered</w:t>
      </w:r>
      <w:proofErr w:type="gramEnd"/>
      <w:r>
        <w:t xml:space="preserve"> by ETH to staff and students, few people are fully aware of these opportu</w:t>
      </w:r>
      <w:r w:rsidR="00B022D0">
        <w:t>n</w:t>
      </w:r>
      <w:r>
        <w:t xml:space="preserve">ities. </w:t>
      </w:r>
    </w:p>
    <w:p w:rsidR="0018244B" w:rsidRDefault="0018244B" w:rsidP="00B022D0">
      <w:pPr>
        <w:pStyle w:val="ListParagraph"/>
        <w:numPr>
          <w:ilvl w:val="0"/>
          <w:numId w:val="11"/>
        </w:numPr>
      </w:pPr>
      <w:r>
        <w:t xml:space="preserve">ASST, </w:t>
      </w:r>
      <w:proofErr w:type="spellStart"/>
      <w:r>
        <w:t>GESSWho</w:t>
      </w:r>
      <w:proofErr w:type="spellEnd"/>
      <w:r>
        <w:t xml:space="preserve">! </w:t>
      </w:r>
      <w:proofErr w:type="gramStart"/>
      <w:r>
        <w:t>and</w:t>
      </w:r>
      <w:proofErr w:type="gramEnd"/>
      <w:r>
        <w:t xml:space="preserve"> </w:t>
      </w:r>
      <w:proofErr w:type="spellStart"/>
      <w:r>
        <w:t>SWiSH</w:t>
      </w:r>
      <w:proofErr w:type="spellEnd"/>
      <w:r>
        <w:t xml:space="preserve"> already run regular events and outreach activit</w:t>
      </w:r>
      <w:r w:rsidR="00987835">
        <w:t>i</w:t>
      </w:r>
      <w:r>
        <w:t xml:space="preserve">es, to which we added the departmental </w:t>
      </w:r>
      <w:proofErr w:type="spellStart"/>
      <w:r>
        <w:t>apero</w:t>
      </w:r>
      <w:proofErr w:type="spellEnd"/>
      <w:r>
        <w:t xml:space="preserve"> on May 12.</w:t>
      </w:r>
    </w:p>
    <w:p w:rsidR="0018244B" w:rsidRDefault="0018244B" w:rsidP="0075306F">
      <w:pPr>
        <w:pStyle w:val="ListParagraph"/>
        <w:numPr>
          <w:ilvl w:val="0"/>
          <w:numId w:val="11"/>
        </w:numPr>
      </w:pPr>
      <w:r>
        <w:t xml:space="preserve">Over the summer, a working group will plan a schedule of events for the academic year 2022-2023. These will include an onboarding event for </w:t>
      </w:r>
      <w:r w:rsidR="0075306F">
        <w:t>doctoral</w:t>
      </w:r>
      <w:r>
        <w:t xml:space="preserve"> students</w:t>
      </w:r>
      <w:r w:rsidR="0075306F">
        <w:t xml:space="preserve"> and scientific staff</w:t>
      </w:r>
      <w:r>
        <w:t xml:space="preserve">, social mixers, </w:t>
      </w:r>
      <w:r w:rsidR="00B022D0">
        <w:t xml:space="preserve">and </w:t>
      </w:r>
      <w:proofErr w:type="spellStart"/>
      <w:r>
        <w:t>aperos</w:t>
      </w:r>
      <w:proofErr w:type="spellEnd"/>
      <w:r>
        <w:t xml:space="preserve"> with academic content (e.g. posters, science slam talks)</w:t>
      </w:r>
      <w:r w:rsidR="00B022D0">
        <w:t>.</w:t>
      </w:r>
    </w:p>
    <w:p w:rsidR="00C23292" w:rsidRDefault="00C23292" w:rsidP="00987835">
      <w:pPr>
        <w:pStyle w:val="ListParagraph"/>
        <w:numPr>
          <w:ilvl w:val="0"/>
          <w:numId w:val="11"/>
        </w:numPr>
      </w:pPr>
      <w:r>
        <w:t xml:space="preserve">Tuesday afternoons </w:t>
      </w:r>
      <w:r w:rsidR="00074CC5">
        <w:t xml:space="preserve">is a designated slot for departmental activities (DK and other activities, we expect 1-2 cohesion activities per semester in that slot). To the extent that this is </w:t>
      </w:r>
      <w:r w:rsidR="00987835">
        <w:t>feasible</w:t>
      </w:r>
      <w:r w:rsidR="00074CC5">
        <w:t xml:space="preserve"> given your employment arrangements, keep this slot free</w:t>
      </w:r>
      <w:r>
        <w:t>.</w:t>
      </w:r>
    </w:p>
    <w:p w:rsidR="0018244B" w:rsidRDefault="0018244B" w:rsidP="0018244B">
      <w:pPr>
        <w:pStyle w:val="ListParagraph"/>
        <w:numPr>
          <w:ilvl w:val="0"/>
          <w:numId w:val="11"/>
        </w:numPr>
      </w:pPr>
      <w:r>
        <w:t>Available ETH resources are included in WIDE newsletter</w:t>
      </w:r>
      <w:r w:rsidR="00B022D0">
        <w:t>s</w:t>
      </w:r>
      <w:r>
        <w:t xml:space="preserve"> and </w:t>
      </w:r>
      <w:proofErr w:type="gramStart"/>
      <w:r>
        <w:t>will be high</w:t>
      </w:r>
      <w:r w:rsidR="00721813">
        <w:t>lighted</w:t>
      </w:r>
      <w:proofErr w:type="gramEnd"/>
      <w:r w:rsidR="00721813">
        <w:t xml:space="preserve"> in the onboarding event</w:t>
      </w:r>
      <w:r w:rsidR="00B022D0">
        <w:t>.</w:t>
      </w:r>
    </w:p>
    <w:p w:rsidR="00C23292" w:rsidRDefault="00C23292" w:rsidP="00C23292">
      <w:pPr>
        <w:pStyle w:val="ListParagraph"/>
        <w:numPr>
          <w:ilvl w:val="0"/>
          <w:numId w:val="11"/>
        </w:numPr>
      </w:pPr>
      <w:r w:rsidRPr="0034284F">
        <w:t xml:space="preserve">The </w:t>
      </w:r>
      <w:hyperlink r:id="rId5" w:history="1">
        <w:r w:rsidRPr="0034284F">
          <w:rPr>
            <w:rStyle w:val="Hyperlink"/>
          </w:rPr>
          <w:t>WIDE website</w:t>
        </w:r>
      </w:hyperlink>
      <w:r w:rsidRPr="0034284F">
        <w:t xml:space="preserve"> will</w:t>
      </w:r>
      <w:r>
        <w:t xml:space="preserve"> include information, resources and best practice examples.</w:t>
      </w:r>
    </w:p>
    <w:p w:rsidR="002A6CF2" w:rsidRDefault="002A6CF2" w:rsidP="00987835">
      <w:pPr>
        <w:pStyle w:val="ListParagraph"/>
        <w:numPr>
          <w:ilvl w:val="0"/>
          <w:numId w:val="11"/>
        </w:numPr>
      </w:pPr>
      <w:r>
        <w:rPr>
          <w:lang w:bidi="ml-IN"/>
        </w:rPr>
        <w:t xml:space="preserve">Departmental documents should continue to be available also in English </w:t>
      </w:r>
      <w:r w:rsidR="00987835">
        <w:rPr>
          <w:lang w:bidi="ml-IN"/>
        </w:rPr>
        <w:t>as soon as possible.</w:t>
      </w:r>
    </w:p>
    <w:p w:rsidR="0018244B" w:rsidRDefault="0018244B" w:rsidP="0018244B">
      <w:pPr>
        <w:pStyle w:val="ListParagraph"/>
        <w:numPr>
          <w:ilvl w:val="0"/>
          <w:numId w:val="11"/>
        </w:numPr>
      </w:pPr>
      <w:r>
        <w:t>Further information sharing options are included in the suggestions to the head of the department.</w:t>
      </w:r>
    </w:p>
    <w:p w:rsidR="00721813" w:rsidRDefault="00721813">
      <w:r>
        <w:br w:type="page"/>
      </w:r>
    </w:p>
    <w:p w:rsidR="00721813" w:rsidRPr="006A3C4F" w:rsidRDefault="00721813" w:rsidP="006A3C4F">
      <w:pPr>
        <w:pStyle w:val="ListParagraph"/>
        <w:numPr>
          <w:ilvl w:val="0"/>
          <w:numId w:val="16"/>
        </w:numPr>
        <w:rPr>
          <w:b/>
          <w:bCs/>
          <w:u w:val="single"/>
        </w:rPr>
      </w:pPr>
      <w:r w:rsidRPr="006A3C4F">
        <w:rPr>
          <w:b/>
          <w:bCs/>
          <w:u w:val="single"/>
        </w:rPr>
        <w:lastRenderedPageBreak/>
        <w:t>Suggestions to improve wellbeing, inclusion, diversity and equity:</w:t>
      </w:r>
    </w:p>
    <w:p w:rsidR="00721813" w:rsidRDefault="00721813" w:rsidP="003904F2">
      <w:r>
        <w:t xml:space="preserve">The following suggestions emerged from various documents and consultations. </w:t>
      </w:r>
      <w:r w:rsidR="003904F2">
        <w:t xml:space="preserve">Some of them may overlap with measures under development by the ETH Diversity unit, the </w:t>
      </w:r>
      <w:proofErr w:type="spellStart"/>
      <w:r w:rsidR="003904F2">
        <w:t>KdL</w:t>
      </w:r>
      <w:proofErr w:type="spellEnd"/>
      <w:r w:rsidR="003904F2">
        <w:t xml:space="preserve"> diversity in teaching working group and the rectorate. When the picture concerning ETH policies becomes clearer, we can discuss whether we wish turn some of these suggestions into departmental policies</w:t>
      </w:r>
      <w:r>
        <w:t>.</w:t>
      </w:r>
    </w:p>
    <w:p w:rsidR="00721813" w:rsidRDefault="00721813" w:rsidP="00721813">
      <w:r>
        <w:t>For professors:</w:t>
      </w:r>
    </w:p>
    <w:p w:rsidR="00721813" w:rsidRDefault="00721813" w:rsidP="00721813">
      <w:pPr>
        <w:pStyle w:val="ListParagraph"/>
        <w:numPr>
          <w:ilvl w:val="0"/>
          <w:numId w:val="13"/>
        </w:numPr>
      </w:pPr>
      <w:r>
        <w:t xml:space="preserve">Participate annually in diversity and teaching workshops in whatever format (departmental workshop, workshop offered by ETH, initiate a workshop in own cluster/group) </w:t>
      </w:r>
    </w:p>
    <w:p w:rsidR="00721813" w:rsidRDefault="00721813" w:rsidP="0029551B">
      <w:pPr>
        <w:pStyle w:val="ListParagraph"/>
        <w:numPr>
          <w:ilvl w:val="0"/>
          <w:numId w:val="13"/>
        </w:numPr>
      </w:pPr>
      <w:r>
        <w:t xml:space="preserve">Initiate more diversity related courses (the department has some budget for external courses, </w:t>
      </w:r>
      <w:r w:rsidR="004F1E9D">
        <w:t xml:space="preserve">which can be prioritized for this; </w:t>
      </w:r>
      <w:r>
        <w:t>application should be a year in advance</w:t>
      </w:r>
      <w:r w:rsidR="003904F2">
        <w:t xml:space="preserve">, contact person: </w:t>
      </w:r>
      <w:r w:rsidR="0029551B">
        <w:t>Caroline</w:t>
      </w:r>
      <w:r w:rsidR="003904F2">
        <w:t xml:space="preserve"> </w:t>
      </w:r>
      <w:proofErr w:type="spellStart"/>
      <w:r w:rsidR="003904F2">
        <w:t>Holck</w:t>
      </w:r>
      <w:proofErr w:type="spellEnd"/>
      <w:r>
        <w:t>)</w:t>
      </w:r>
    </w:p>
    <w:p w:rsidR="00721813" w:rsidRDefault="00721813" w:rsidP="00721813">
      <w:pPr>
        <w:pStyle w:val="ListParagraph"/>
        <w:numPr>
          <w:ilvl w:val="0"/>
          <w:numId w:val="13"/>
        </w:numPr>
      </w:pPr>
      <w:r>
        <w:t xml:space="preserve">Convey clear expectations and commitments </w:t>
      </w:r>
      <w:proofErr w:type="spellStart"/>
      <w:r>
        <w:t>wrt</w:t>
      </w:r>
      <w:proofErr w:type="spellEnd"/>
      <w:r>
        <w:t xml:space="preserve"> staff and </w:t>
      </w:r>
      <w:r w:rsidRPr="0034284F">
        <w:t>students (</w:t>
      </w:r>
      <w:hyperlink r:id="rId6" w:history="1">
        <w:r w:rsidRPr="0034284F">
          <w:rPr>
            <w:rStyle w:val="Hyperlink"/>
          </w:rPr>
          <w:t>example on website</w:t>
        </w:r>
      </w:hyperlink>
      <w:r w:rsidRPr="0034284F">
        <w:t>)</w:t>
      </w:r>
    </w:p>
    <w:p w:rsidR="00721813" w:rsidRDefault="00721813" w:rsidP="00C23292">
      <w:pPr>
        <w:pStyle w:val="ListParagraph"/>
        <w:numPr>
          <w:ilvl w:val="0"/>
          <w:numId w:val="13"/>
        </w:numPr>
      </w:pPr>
      <w:r>
        <w:t xml:space="preserve">Convey </w:t>
      </w:r>
      <w:r w:rsidR="003904F2">
        <w:t xml:space="preserve">a </w:t>
      </w:r>
      <w:r>
        <w:t>clear message on work/leisure time (</w:t>
      </w:r>
      <w:r w:rsidR="00C23292">
        <w:t>state the required</w:t>
      </w:r>
      <w:r>
        <w:t xml:space="preserve"> working hours, do not demand answers to emails in evenings and weekends)</w:t>
      </w:r>
    </w:p>
    <w:p w:rsidR="00721813" w:rsidRDefault="00721813" w:rsidP="003904F2">
      <w:pPr>
        <w:pStyle w:val="ListParagraph"/>
        <w:numPr>
          <w:ilvl w:val="0"/>
          <w:numId w:val="13"/>
        </w:numPr>
      </w:pPr>
      <w:r>
        <w:t xml:space="preserve">Provide timely feedback and </w:t>
      </w:r>
      <w:r w:rsidR="003904F2">
        <w:t xml:space="preserve">a </w:t>
      </w:r>
      <w:r>
        <w:t>clear indica</w:t>
      </w:r>
      <w:r w:rsidR="003904F2">
        <w:t>tion of expected response time for</w:t>
      </w:r>
      <w:r>
        <w:t xml:space="preserve"> em</w:t>
      </w:r>
      <w:r w:rsidR="003904F2">
        <w:t>ails, written submissions, etc.</w:t>
      </w:r>
    </w:p>
    <w:p w:rsidR="0075306F" w:rsidRDefault="0075306F" w:rsidP="003904F2">
      <w:pPr>
        <w:pStyle w:val="ListParagraph"/>
        <w:numPr>
          <w:ilvl w:val="0"/>
          <w:numId w:val="13"/>
        </w:numPr>
      </w:pPr>
      <w:r>
        <w:t>Be conscious of wellbeing issues, and communicate about it; inform students about the support offered by ETH</w:t>
      </w:r>
    </w:p>
    <w:p w:rsidR="00721813" w:rsidRPr="0034284F" w:rsidRDefault="00721813" w:rsidP="00721813">
      <w:pPr>
        <w:pStyle w:val="ListParagraph"/>
        <w:numPr>
          <w:ilvl w:val="0"/>
          <w:numId w:val="13"/>
        </w:numPr>
      </w:pPr>
      <w:r>
        <w:t xml:space="preserve">Consider adopting a code of conduct for your </w:t>
      </w:r>
      <w:r w:rsidRPr="0034284F">
        <w:t>group (</w:t>
      </w:r>
      <w:hyperlink r:id="rId7" w:history="1">
        <w:r w:rsidRPr="0034284F">
          <w:rPr>
            <w:rStyle w:val="Hyperlink"/>
          </w:rPr>
          <w:t>example on website</w:t>
        </w:r>
      </w:hyperlink>
      <w:r w:rsidRPr="0034284F">
        <w:t>)</w:t>
      </w:r>
    </w:p>
    <w:p w:rsidR="00721813" w:rsidRDefault="003904F2" w:rsidP="003904F2">
      <w:pPr>
        <w:pStyle w:val="ListParagraph"/>
        <w:numPr>
          <w:ilvl w:val="0"/>
          <w:numId w:val="13"/>
        </w:numPr>
      </w:pPr>
      <w:r>
        <w:t xml:space="preserve">Fund </w:t>
      </w:r>
      <w:r w:rsidR="00721813">
        <w:t xml:space="preserve">professional development </w:t>
      </w:r>
      <w:r>
        <w:t>activities for</w:t>
      </w:r>
      <w:r w:rsidR="00721813">
        <w:t xml:space="preserve"> your staff (</w:t>
      </w:r>
      <w:r w:rsidR="00C23292">
        <w:t>e.g.</w:t>
      </w:r>
      <w:r w:rsidR="00721813">
        <w:t xml:space="preserve"> German courses, mentorship programs)</w:t>
      </w:r>
    </w:p>
    <w:p w:rsidR="00721813" w:rsidRDefault="00721813" w:rsidP="00721813">
      <w:pPr>
        <w:pStyle w:val="ListParagraph"/>
        <w:numPr>
          <w:ilvl w:val="0"/>
          <w:numId w:val="13"/>
        </w:numPr>
      </w:pPr>
      <w:r>
        <w:t>Consider producing career events for your team (possibly with alumni)</w:t>
      </w:r>
    </w:p>
    <w:p w:rsidR="003904F2" w:rsidRDefault="003904F2" w:rsidP="003904F2">
      <w:pPr>
        <w:pStyle w:val="ListParagraph"/>
        <w:numPr>
          <w:ilvl w:val="0"/>
          <w:numId w:val="13"/>
        </w:numPr>
      </w:pPr>
      <w:r>
        <w:t>Report relevant feedback and best practices to GDA</w:t>
      </w:r>
    </w:p>
    <w:p w:rsidR="00721813" w:rsidRDefault="00721813" w:rsidP="00721813">
      <w:r>
        <w:t>For teachers:</w:t>
      </w:r>
    </w:p>
    <w:p w:rsidR="00721813" w:rsidRDefault="00721813" w:rsidP="003904F2">
      <w:pPr>
        <w:pStyle w:val="ListParagraph"/>
        <w:numPr>
          <w:ilvl w:val="0"/>
          <w:numId w:val="14"/>
        </w:numPr>
      </w:pPr>
      <w:r>
        <w:t>Try to diversify your Syllabi</w:t>
      </w:r>
      <w:r w:rsidR="003904F2">
        <w:t xml:space="preserve"> (include reading materials by women and other under-represented groups)</w:t>
      </w:r>
    </w:p>
    <w:p w:rsidR="00721813" w:rsidRDefault="00721813" w:rsidP="00721813">
      <w:pPr>
        <w:pStyle w:val="ListParagraph"/>
        <w:numPr>
          <w:ilvl w:val="0"/>
          <w:numId w:val="14"/>
        </w:numPr>
      </w:pPr>
      <w:r>
        <w:t xml:space="preserve">Convey clear expectations and commitments </w:t>
      </w:r>
      <w:proofErr w:type="spellStart"/>
      <w:r>
        <w:t>wrt</w:t>
      </w:r>
      <w:proofErr w:type="spellEnd"/>
      <w:r>
        <w:t xml:space="preserve"> students</w:t>
      </w:r>
    </w:p>
    <w:p w:rsidR="003904F2" w:rsidRDefault="003904F2" w:rsidP="00721813">
      <w:pPr>
        <w:pStyle w:val="ListParagraph"/>
        <w:numPr>
          <w:ilvl w:val="0"/>
          <w:numId w:val="14"/>
        </w:numPr>
      </w:pPr>
      <w:r>
        <w:t xml:space="preserve">Provide timely feedback and a clear indication of </w:t>
      </w:r>
      <w:r w:rsidR="0029551B">
        <w:t xml:space="preserve">your </w:t>
      </w:r>
      <w:r>
        <w:t>expected response time for emails, written submissions, etc.</w:t>
      </w:r>
    </w:p>
    <w:p w:rsidR="00721813" w:rsidRDefault="00721813" w:rsidP="00721813">
      <w:pPr>
        <w:pStyle w:val="ListParagraph"/>
        <w:numPr>
          <w:ilvl w:val="0"/>
          <w:numId w:val="14"/>
        </w:numPr>
      </w:pPr>
      <w:r>
        <w:t>Estab</w:t>
      </w:r>
      <w:r w:rsidR="00C23292">
        <w:t>lish clear criteria for grading</w:t>
      </w:r>
      <w:r>
        <w:t xml:space="preserve"> </w:t>
      </w:r>
    </w:p>
    <w:p w:rsidR="00044504" w:rsidRDefault="00044504" w:rsidP="00044504">
      <w:pPr>
        <w:pStyle w:val="ListParagraph"/>
        <w:numPr>
          <w:ilvl w:val="0"/>
          <w:numId w:val="14"/>
        </w:numPr>
      </w:pPr>
      <w:r>
        <w:t>Provide preparatory material for exams (sample questions, clear instructions)</w:t>
      </w:r>
    </w:p>
    <w:p w:rsidR="00721813" w:rsidRDefault="00721813" w:rsidP="00721813">
      <w:pPr>
        <w:pStyle w:val="ListParagraph"/>
        <w:numPr>
          <w:ilvl w:val="0"/>
          <w:numId w:val="14"/>
        </w:numPr>
      </w:pPr>
      <w:r>
        <w:t>Provide access to graded exams</w:t>
      </w:r>
      <w:r w:rsidR="003904F2">
        <w:t>/essays</w:t>
      </w:r>
      <w:r>
        <w:t xml:space="preserve"> with your comments</w:t>
      </w:r>
    </w:p>
    <w:p w:rsidR="00721813" w:rsidRDefault="00721813" w:rsidP="0029551B">
      <w:pPr>
        <w:pStyle w:val="ListParagraph"/>
        <w:numPr>
          <w:ilvl w:val="0"/>
          <w:numId w:val="14"/>
        </w:numPr>
      </w:pPr>
      <w:r>
        <w:t>C</w:t>
      </w:r>
      <w:r w:rsidRPr="00B662BD">
        <w:t xml:space="preserve">onsider anonymous </w:t>
      </w:r>
      <w:r w:rsidR="0029551B">
        <w:t>grading</w:t>
      </w:r>
      <w:r w:rsidR="003904F2">
        <w:t xml:space="preserve"> (the rectorate endorses this move)</w:t>
      </w:r>
    </w:p>
    <w:p w:rsidR="00044504" w:rsidRDefault="00044504" w:rsidP="00044504">
      <w:pPr>
        <w:pStyle w:val="ListParagraph"/>
        <w:numPr>
          <w:ilvl w:val="0"/>
          <w:numId w:val="14"/>
        </w:numPr>
      </w:pPr>
      <w:r>
        <w:t>U</w:t>
      </w:r>
      <w:r w:rsidRPr="00B662BD">
        <w:t>se inclusive language</w:t>
      </w:r>
    </w:p>
    <w:p w:rsidR="00721813" w:rsidRDefault="00721813" w:rsidP="00721813">
      <w:pPr>
        <w:pStyle w:val="ListParagraph"/>
        <w:numPr>
          <w:ilvl w:val="0"/>
          <w:numId w:val="14"/>
        </w:numPr>
      </w:pPr>
      <w:r>
        <w:t xml:space="preserve">Report </w:t>
      </w:r>
      <w:r w:rsidR="003904F2">
        <w:t xml:space="preserve">relevant </w:t>
      </w:r>
      <w:r>
        <w:t>feedback and best practices to UK</w:t>
      </w:r>
    </w:p>
    <w:p w:rsidR="00721813" w:rsidRDefault="00721813" w:rsidP="00721813">
      <w:r>
        <w:t>For UKs:</w:t>
      </w:r>
    </w:p>
    <w:p w:rsidR="00721813" w:rsidRDefault="00721813" w:rsidP="00584C3E">
      <w:pPr>
        <w:pStyle w:val="ListParagraph"/>
        <w:numPr>
          <w:ilvl w:val="0"/>
          <w:numId w:val="15"/>
        </w:numPr>
      </w:pPr>
      <w:r>
        <w:t>Initiate more diversity related courses (</w:t>
      </w:r>
      <w:r w:rsidR="004F1E9D">
        <w:t>the department has some budget for external courses, which can be prioritized for this;</w:t>
      </w:r>
      <w:r>
        <w:t xml:space="preserve"> application should be a year in advance</w:t>
      </w:r>
      <w:r w:rsidR="003904F2">
        <w:t xml:space="preserve">, contact person: </w:t>
      </w:r>
      <w:r w:rsidR="00584C3E">
        <w:t>Caroline</w:t>
      </w:r>
      <w:r w:rsidR="003904F2">
        <w:t xml:space="preserve"> </w:t>
      </w:r>
      <w:proofErr w:type="spellStart"/>
      <w:r w:rsidR="003904F2">
        <w:t>Holck</w:t>
      </w:r>
      <w:proofErr w:type="spellEnd"/>
      <w:r>
        <w:t>)</w:t>
      </w:r>
    </w:p>
    <w:p w:rsidR="00721813" w:rsidRDefault="00721813" w:rsidP="00721813">
      <w:pPr>
        <w:pStyle w:val="ListParagraph"/>
        <w:numPr>
          <w:ilvl w:val="0"/>
          <w:numId w:val="15"/>
        </w:numPr>
      </w:pPr>
      <w:r>
        <w:t xml:space="preserve">Follow up </w:t>
      </w:r>
      <w:r w:rsidR="003904F2">
        <w:t xml:space="preserve">on </w:t>
      </w:r>
      <w:r>
        <w:t>and self-evaluate the diversity of courses in the program</w:t>
      </w:r>
    </w:p>
    <w:p w:rsidR="00721813" w:rsidRDefault="003904F2" w:rsidP="00721813">
      <w:pPr>
        <w:pStyle w:val="ListParagraph"/>
        <w:numPr>
          <w:ilvl w:val="0"/>
          <w:numId w:val="15"/>
        </w:numPr>
      </w:pPr>
      <w:r>
        <w:t>Discuss</w:t>
      </w:r>
      <w:r w:rsidR="00721813">
        <w:t xml:space="preserve"> communication of expectations to students and consider best practices or rules</w:t>
      </w:r>
    </w:p>
    <w:p w:rsidR="00721813" w:rsidRDefault="00721813" w:rsidP="00721813">
      <w:pPr>
        <w:pStyle w:val="ListParagraph"/>
        <w:numPr>
          <w:ilvl w:val="0"/>
          <w:numId w:val="15"/>
        </w:numPr>
      </w:pPr>
      <w:r>
        <w:t>Discuss best practices or rules for students’ access to graded exams</w:t>
      </w:r>
      <w:r w:rsidR="003904F2">
        <w:t>/essays</w:t>
      </w:r>
      <w:r>
        <w:t xml:space="preserve"> and </w:t>
      </w:r>
      <w:r w:rsidR="003904F2">
        <w:t xml:space="preserve">detailed </w:t>
      </w:r>
      <w:r>
        <w:t>feedback</w:t>
      </w:r>
    </w:p>
    <w:p w:rsidR="00721813" w:rsidRDefault="00721813" w:rsidP="005B62C7">
      <w:pPr>
        <w:pStyle w:val="ListParagraph"/>
        <w:numPr>
          <w:ilvl w:val="0"/>
          <w:numId w:val="15"/>
        </w:numPr>
      </w:pPr>
      <w:r>
        <w:t xml:space="preserve">Discuss policy on anonymous </w:t>
      </w:r>
      <w:r w:rsidR="005B62C7">
        <w:t>grading</w:t>
      </w:r>
      <w:r w:rsidR="003904F2">
        <w:t xml:space="preserve"> (the rectorate endorses this move)</w:t>
      </w:r>
    </w:p>
    <w:p w:rsidR="00721813" w:rsidRDefault="00721813" w:rsidP="00721813">
      <w:pPr>
        <w:pStyle w:val="ListParagraph"/>
        <w:numPr>
          <w:ilvl w:val="0"/>
          <w:numId w:val="15"/>
        </w:numPr>
      </w:pPr>
      <w:r>
        <w:lastRenderedPageBreak/>
        <w:t>Consider adopting a code of conduct</w:t>
      </w:r>
    </w:p>
    <w:p w:rsidR="00721813" w:rsidRDefault="00721813" w:rsidP="00721813">
      <w:pPr>
        <w:pStyle w:val="ListParagraph"/>
        <w:numPr>
          <w:ilvl w:val="0"/>
          <w:numId w:val="15"/>
        </w:numPr>
      </w:pPr>
      <w:r>
        <w:t>Consider producing career events for the study program (possibly with alumni)</w:t>
      </w:r>
    </w:p>
    <w:p w:rsidR="00721813" w:rsidRDefault="00721813" w:rsidP="00721813">
      <w:pPr>
        <w:pStyle w:val="ListParagraph"/>
        <w:numPr>
          <w:ilvl w:val="0"/>
          <w:numId w:val="15"/>
        </w:numPr>
      </w:pPr>
      <w:r>
        <w:t>Report feedback and best practices to GDA</w:t>
      </w:r>
    </w:p>
    <w:p w:rsidR="00721813" w:rsidRDefault="00721813" w:rsidP="00721813">
      <w:r>
        <w:t>For Sections/clusters:</w:t>
      </w:r>
    </w:p>
    <w:p w:rsidR="00721813" w:rsidRDefault="00721813" w:rsidP="00721813">
      <w:pPr>
        <w:pStyle w:val="ListParagraph"/>
        <w:numPr>
          <w:ilvl w:val="0"/>
          <w:numId w:val="13"/>
        </w:numPr>
      </w:pPr>
      <w:r>
        <w:t>Consider adopting a code of conduct</w:t>
      </w:r>
    </w:p>
    <w:p w:rsidR="00721813" w:rsidRDefault="00721813" w:rsidP="00721813">
      <w:pPr>
        <w:pStyle w:val="ListParagraph"/>
        <w:numPr>
          <w:ilvl w:val="0"/>
          <w:numId w:val="13"/>
        </w:numPr>
      </w:pPr>
      <w:r>
        <w:t>Consider producing career events for the section/cluster (possibly with alumni)</w:t>
      </w:r>
    </w:p>
    <w:p w:rsidR="0075306F" w:rsidRDefault="0075306F" w:rsidP="000B135C">
      <w:pPr>
        <w:pStyle w:val="ListParagraph"/>
        <w:numPr>
          <w:ilvl w:val="0"/>
          <w:numId w:val="13"/>
        </w:numPr>
      </w:pPr>
      <w:r>
        <w:rPr>
          <w:color w:val="3B3838"/>
          <w:spacing w:val="4"/>
          <w:lang w:val="en-GB"/>
        </w:rPr>
        <w:t>Consider producing events for scientific</w:t>
      </w:r>
      <w:r w:rsidR="000B135C">
        <w:rPr>
          <w:color w:val="3B3838"/>
          <w:spacing w:val="4"/>
          <w:lang w:val="en-GB"/>
        </w:rPr>
        <w:t xml:space="preserve"> and </w:t>
      </w:r>
      <w:r>
        <w:rPr>
          <w:color w:val="3B3838"/>
          <w:spacing w:val="4"/>
          <w:lang w:val="en-GB"/>
        </w:rPr>
        <w:t>social exchange in your cluster/section</w:t>
      </w:r>
    </w:p>
    <w:p w:rsidR="00721813" w:rsidRDefault="00721813" w:rsidP="00721813">
      <w:r>
        <w:t>For head of department:</w:t>
      </w:r>
    </w:p>
    <w:p w:rsidR="00721813" w:rsidRDefault="00721813" w:rsidP="00721813">
      <w:pPr>
        <w:pStyle w:val="ListParagraph"/>
        <w:numPr>
          <w:ilvl w:val="0"/>
          <w:numId w:val="12"/>
        </w:numPr>
      </w:pPr>
      <w:r>
        <w:t xml:space="preserve">Communicate departmental news and processes via newsletters, </w:t>
      </w:r>
      <w:proofErr w:type="spellStart"/>
      <w:r>
        <w:t>infoscreens</w:t>
      </w:r>
      <w:proofErr w:type="spellEnd"/>
      <w:r>
        <w:t xml:space="preserve"> or </w:t>
      </w:r>
      <w:proofErr w:type="spellStart"/>
      <w:r>
        <w:t>townhalls</w:t>
      </w:r>
      <w:proofErr w:type="spellEnd"/>
    </w:p>
    <w:p w:rsidR="00721813" w:rsidRDefault="00721813" w:rsidP="00721813">
      <w:pPr>
        <w:pStyle w:val="ListParagraph"/>
        <w:numPr>
          <w:ilvl w:val="0"/>
          <w:numId w:val="12"/>
        </w:numPr>
      </w:pPr>
      <w:r>
        <w:t>Consider polls in town halls to canvass department</w:t>
      </w:r>
      <w:r w:rsidR="00B93CA3">
        <w:t>al</w:t>
      </w:r>
      <w:r>
        <w:t xml:space="preserve"> </w:t>
      </w:r>
      <w:proofErr w:type="spellStart"/>
      <w:r>
        <w:t>Stimmung</w:t>
      </w:r>
      <w:r w:rsidR="00B93CA3">
        <w:t>sbild</w:t>
      </w:r>
      <w:proofErr w:type="spellEnd"/>
    </w:p>
    <w:p w:rsidR="00721813" w:rsidRDefault="004E4DDD" w:rsidP="00721813">
      <w:pPr>
        <w:pStyle w:val="ListParagraph"/>
        <w:numPr>
          <w:ilvl w:val="0"/>
          <w:numId w:val="12"/>
        </w:numPr>
      </w:pPr>
      <w:r>
        <w:t>Appoint</w:t>
      </w:r>
      <w:r w:rsidR="00721813">
        <w:t xml:space="preserve"> ad-hoc mixed working groups for discussing specific issues and coming up with recommendations</w:t>
      </w:r>
    </w:p>
    <w:p w:rsidR="002A6CF2" w:rsidRDefault="00721813" w:rsidP="00721813">
      <w:pPr>
        <w:pStyle w:val="ListParagraph"/>
        <w:numPr>
          <w:ilvl w:val="0"/>
          <w:numId w:val="12"/>
        </w:numPr>
      </w:pPr>
      <w:r>
        <w:t>Initiate occasional informal lunches/</w:t>
      </w:r>
      <w:proofErr w:type="spellStart"/>
      <w:r>
        <w:t>aperos</w:t>
      </w:r>
      <w:proofErr w:type="spellEnd"/>
      <w:r>
        <w:t xml:space="preserve"> with head of department </w:t>
      </w:r>
    </w:p>
    <w:p w:rsidR="002A6CF2" w:rsidRDefault="002A6CF2">
      <w:r>
        <w:br w:type="page"/>
      </w:r>
    </w:p>
    <w:p w:rsidR="002A6CF2" w:rsidRDefault="002A6CF2" w:rsidP="002A6CF2">
      <w:pPr>
        <w:pStyle w:val="ListParagraph"/>
        <w:numPr>
          <w:ilvl w:val="0"/>
          <w:numId w:val="16"/>
        </w:numPr>
        <w:rPr>
          <w:b/>
          <w:bCs/>
          <w:u w:val="single"/>
        </w:rPr>
      </w:pPr>
      <w:r>
        <w:rPr>
          <w:b/>
          <w:bCs/>
          <w:u w:val="single"/>
        </w:rPr>
        <w:lastRenderedPageBreak/>
        <w:t xml:space="preserve">General comments on </w:t>
      </w:r>
      <w:r w:rsidR="00C15C4A">
        <w:rPr>
          <w:b/>
          <w:bCs/>
          <w:u w:val="single"/>
        </w:rPr>
        <w:t xml:space="preserve">the department and on </w:t>
      </w:r>
      <w:r>
        <w:rPr>
          <w:b/>
          <w:bCs/>
          <w:u w:val="single"/>
        </w:rPr>
        <w:t>diversity</w:t>
      </w:r>
    </w:p>
    <w:p w:rsidR="002A6CF2" w:rsidRDefault="002A6CF2" w:rsidP="004F1E9D">
      <w:r>
        <w:t xml:space="preserve">Jamie </w:t>
      </w:r>
      <w:proofErr w:type="spellStart"/>
      <w:r>
        <w:t>Gloor</w:t>
      </w:r>
      <w:proofErr w:type="spellEnd"/>
      <w:r>
        <w:t xml:space="preserve"> has noted the following diversity myths</w:t>
      </w:r>
      <w:r w:rsidR="005134E9">
        <w:t xml:space="preserve"> </w:t>
      </w:r>
      <w:r>
        <w:t xml:space="preserve">that </w:t>
      </w:r>
      <w:proofErr w:type="gramStart"/>
      <w:r>
        <w:t>were reflected</w:t>
      </w:r>
      <w:proofErr w:type="gramEnd"/>
      <w:r>
        <w:t xml:space="preserve"> </w:t>
      </w:r>
      <w:r w:rsidR="00601A7C">
        <w:t xml:space="preserve">by some participants </w:t>
      </w:r>
      <w:r>
        <w:t>in the professorial diversity workshops.</w:t>
      </w:r>
    </w:p>
    <w:p w:rsidR="002A6CF2" w:rsidRDefault="002A6CF2" w:rsidP="005134E9">
      <w:pPr>
        <w:pStyle w:val="ListParagraph"/>
        <w:numPr>
          <w:ilvl w:val="0"/>
          <w:numId w:val="17"/>
        </w:numPr>
      </w:pPr>
      <w:r>
        <w:t xml:space="preserve">Diversity hiring would lower standards: “Organizations do not need not sacrifice talent to gain diversity (or inclusion). </w:t>
      </w:r>
      <w:proofErr w:type="gramStart"/>
      <w:r>
        <w:t>But</w:t>
      </w:r>
      <w:proofErr w:type="gramEnd"/>
      <w:r>
        <w:t xml:space="preserve">, some conceptions of </w:t>
      </w:r>
      <w:r w:rsidR="005134E9">
        <w:t>‘</w:t>
      </w:r>
      <w:r>
        <w:t>excellence</w:t>
      </w:r>
      <w:r w:rsidR="005134E9">
        <w:t>’</w:t>
      </w:r>
      <w:r>
        <w:t xml:space="preserve"> or </w:t>
      </w:r>
      <w:r w:rsidR="005134E9">
        <w:t>‘</w:t>
      </w:r>
      <w:r>
        <w:t>brilliance</w:t>
      </w:r>
      <w:r w:rsidR="005134E9">
        <w:t>’</w:t>
      </w:r>
      <w:r>
        <w:t xml:space="preserve"> may </w:t>
      </w:r>
      <w:r w:rsidR="001B52B3">
        <w:t>be unnecessarily masculine, and</w:t>
      </w:r>
      <w:r>
        <w:t xml:space="preserve"> are thus biased (e.g., </w:t>
      </w:r>
      <w:hyperlink r:id="rId8" w:history="1">
        <w:r w:rsidRPr="002A6CF2">
          <w:rPr>
            <w:rStyle w:val="Hyperlink"/>
          </w:rPr>
          <w:t>here</w:t>
        </w:r>
      </w:hyperlink>
      <w:r>
        <w:t>). So, consider which standards are truly appropriate and necessary for the job</w:t>
      </w:r>
      <w:r w:rsidR="005134E9">
        <w:t>.”</w:t>
      </w:r>
    </w:p>
    <w:p w:rsidR="005134E9" w:rsidRDefault="005134E9" w:rsidP="005134E9">
      <w:pPr>
        <w:pStyle w:val="ListParagraph"/>
        <w:numPr>
          <w:ilvl w:val="0"/>
          <w:numId w:val="17"/>
        </w:numPr>
      </w:pPr>
      <w:r>
        <w:t xml:space="preserve">Women are less mobile than </w:t>
      </w:r>
      <w:proofErr w:type="gramStart"/>
      <w:r>
        <w:t>men</w:t>
      </w:r>
      <w:proofErr w:type="gramEnd"/>
      <w:r>
        <w:t xml:space="preserve">: “Gendered assumptions of mobility or the ‘two-body problem’ (for dual career couples) also reflect negative bias towards women (and often positive bias towards men). Indeed, some research shows that families are no less likely to relocate for work when relocation belongs to the female partner (e.g., </w:t>
      </w:r>
      <w:hyperlink r:id="rId9" w:history="1">
        <w:r w:rsidRPr="005134E9">
          <w:rPr>
            <w:rStyle w:val="Hyperlink"/>
          </w:rPr>
          <w:t>here</w:t>
        </w:r>
      </w:hyperlink>
      <w:r>
        <w:t>).”</w:t>
      </w:r>
    </w:p>
    <w:p w:rsidR="002D25CD" w:rsidRDefault="002D25CD" w:rsidP="001B52B3">
      <w:r>
        <w:t>I conclude with two additional observations. First, unconscious or conscious bias is not the only issue we face</w:t>
      </w:r>
      <w:r w:rsidR="009C4BF0">
        <w:t>;</w:t>
      </w:r>
      <w:r>
        <w:t xml:space="preserve"> there are also </w:t>
      </w:r>
      <w:r w:rsidRPr="002D25CD">
        <w:rPr>
          <w:i/>
          <w:iCs/>
        </w:rPr>
        <w:t>structural biases</w:t>
      </w:r>
      <w:r>
        <w:t xml:space="preserve">. People who are systematically disadvantaged will have less </w:t>
      </w:r>
      <w:r w:rsidR="009C4BF0">
        <w:t xml:space="preserve">access to resources and </w:t>
      </w:r>
      <w:r>
        <w:t xml:space="preserve">opportunities than </w:t>
      </w:r>
      <w:proofErr w:type="gramStart"/>
      <w:r>
        <w:t>others</w:t>
      </w:r>
      <w:proofErr w:type="gramEnd"/>
      <w:r>
        <w:t xml:space="preserve">. When we evaluate </w:t>
      </w:r>
      <w:r w:rsidR="001B52B3">
        <w:t>an</w:t>
      </w:r>
      <w:r>
        <w:t xml:space="preserve"> </w:t>
      </w:r>
      <w:r w:rsidR="009C4BF0">
        <w:t xml:space="preserve">applicant’s excellence </w:t>
      </w:r>
      <w:r>
        <w:t>potential, we cannot consider</w:t>
      </w:r>
      <w:r w:rsidR="009C4BF0">
        <w:t xml:space="preserve"> their</w:t>
      </w:r>
      <w:r>
        <w:t xml:space="preserve"> </w:t>
      </w:r>
      <w:r w:rsidR="009C4BF0">
        <w:t xml:space="preserve">objective </w:t>
      </w:r>
      <w:r>
        <w:t>achievements</w:t>
      </w:r>
      <w:r w:rsidR="009C4BF0">
        <w:t xml:space="preserve"> in isolation</w:t>
      </w:r>
      <w:r>
        <w:t xml:space="preserve">, but should evaluate their achievements relative to their </w:t>
      </w:r>
      <w:r w:rsidR="009C4BF0">
        <w:t xml:space="preserve">resources and </w:t>
      </w:r>
      <w:r>
        <w:t>opportunities. A person with a good record of achievements</w:t>
      </w:r>
      <w:r w:rsidR="009C4BF0">
        <w:t xml:space="preserve">, who had to </w:t>
      </w:r>
      <w:r>
        <w:t>constant</w:t>
      </w:r>
      <w:r w:rsidR="009C4BF0">
        <w:t>ly</w:t>
      </w:r>
      <w:r>
        <w:t xml:space="preserve"> struggle for resources and </w:t>
      </w:r>
      <w:r w:rsidR="009C4BF0">
        <w:t>inclusion,</w:t>
      </w:r>
      <w:r>
        <w:t xml:space="preserve"> is potentially </w:t>
      </w:r>
      <w:r w:rsidR="009C4BF0">
        <w:t>as</w:t>
      </w:r>
      <w:r>
        <w:t xml:space="preserve"> excellent </w:t>
      </w:r>
      <w:proofErr w:type="gramStart"/>
      <w:r w:rsidR="009C4BF0">
        <w:t>as</w:t>
      </w:r>
      <w:r>
        <w:t xml:space="preserve"> a person with somewhat better achievements,</w:t>
      </w:r>
      <w:proofErr w:type="gramEnd"/>
      <w:r>
        <w:t xml:space="preserve"> but who had access to more resources and opportunities.</w:t>
      </w:r>
    </w:p>
    <w:p w:rsidR="002D25CD" w:rsidRDefault="002D25CD" w:rsidP="001B52B3">
      <w:r>
        <w:t>Finally, some remarks concerning the general notions of diversity and inclusion</w:t>
      </w:r>
      <w:r w:rsidR="009C4BF0">
        <w:t>.</w:t>
      </w:r>
      <w:r>
        <w:t xml:space="preserve"> Diversity is often measured in terms of identity marker statistics</w:t>
      </w:r>
      <w:r w:rsidR="009C4BF0">
        <w:t xml:space="preserve"> (such as ethnic and cultural background, country of origin, religion, language, gender, sexuality, social class, disability, neurodiversity, etc.)</w:t>
      </w:r>
      <w:r>
        <w:t xml:space="preserve">. However, diversity </w:t>
      </w:r>
      <w:proofErr w:type="gramStart"/>
      <w:r>
        <w:t>need not be measured</w:t>
      </w:r>
      <w:proofErr w:type="gramEnd"/>
      <w:r>
        <w:t xml:space="preserve"> according to hierarchical lists of such identity markers. Instead, it can be valued and </w:t>
      </w:r>
      <w:r w:rsidR="009C4BF0">
        <w:t>assessed in terms of the following diversity related virtues</w:t>
      </w:r>
      <w:r>
        <w:t>:</w:t>
      </w:r>
    </w:p>
    <w:p w:rsidR="009C4BF0" w:rsidRDefault="009C4BF0" w:rsidP="001B52B3">
      <w:pPr>
        <w:pStyle w:val="ListParagraph"/>
        <w:numPr>
          <w:ilvl w:val="0"/>
          <w:numId w:val="19"/>
        </w:numPr>
        <w:spacing w:line="256" w:lineRule="auto"/>
      </w:pPr>
      <w:r>
        <w:t xml:space="preserve">Diversity enables more perspectives, which can challenge entrenched thought patterns </w:t>
      </w:r>
      <w:r w:rsidR="001B52B3">
        <w:t>and</w:t>
      </w:r>
      <w:r>
        <w:t xml:space="preserve"> improve learning, research, mentorship and culture.</w:t>
      </w:r>
    </w:p>
    <w:p w:rsidR="009C4BF0" w:rsidRDefault="009C4BF0" w:rsidP="009C4BF0">
      <w:pPr>
        <w:pStyle w:val="ListParagraph"/>
        <w:numPr>
          <w:ilvl w:val="0"/>
          <w:numId w:val="19"/>
        </w:numPr>
        <w:spacing w:line="256" w:lineRule="auto"/>
      </w:pPr>
      <w:r>
        <w:t>Diversity provides role models for disadvantaged groups and helps staff and students become agents of empowerment.</w:t>
      </w:r>
    </w:p>
    <w:p w:rsidR="008A56E4" w:rsidRDefault="009C4BF0" w:rsidP="001B52B3">
      <w:pPr>
        <w:pStyle w:val="ListParagraph"/>
        <w:numPr>
          <w:ilvl w:val="0"/>
          <w:numId w:val="19"/>
        </w:numPr>
        <w:spacing w:line="256" w:lineRule="auto"/>
      </w:pPr>
      <w:r>
        <w:t>Diversity is a (partial) indication of successful efforts to reduce the exclusion of groups that are disadvantaged due to social inequalities and to unconscious, conscious and institutional bias</w:t>
      </w:r>
      <w:r w:rsidR="001B52B3">
        <w:t>es</w:t>
      </w:r>
      <w:r>
        <w:t xml:space="preserve">. </w:t>
      </w:r>
    </w:p>
    <w:p w:rsidR="002D25CD" w:rsidRDefault="009C4BF0" w:rsidP="001B52B3">
      <w:pPr>
        <w:pStyle w:val="ListParagraph"/>
        <w:numPr>
          <w:ilvl w:val="0"/>
          <w:numId w:val="19"/>
        </w:numPr>
        <w:spacing w:line="256" w:lineRule="auto"/>
      </w:pPr>
      <w:r>
        <w:t>However, a</w:t>
      </w:r>
      <w:r w:rsidR="002D25CD">
        <w:t xml:space="preserve"> mixed group is not necessarily diverse</w:t>
      </w:r>
      <w:r>
        <w:t xml:space="preserve">, as mixed groups </w:t>
      </w:r>
      <w:r w:rsidR="001B52B3">
        <w:t>may</w:t>
      </w:r>
      <w:r w:rsidR="002D25CD">
        <w:t xml:space="preserve"> reproduce hierarchies of exclusion. </w:t>
      </w:r>
      <w:r w:rsidR="002D25CD" w:rsidRPr="00EB5160">
        <w:t xml:space="preserve">Inclusion </w:t>
      </w:r>
      <w:r w:rsidRPr="00EB5160">
        <w:t>is</w:t>
      </w:r>
      <w:r>
        <w:t xml:space="preserve"> required to allow</w:t>
      </w:r>
      <w:r w:rsidR="002D25CD">
        <w:t xml:space="preserve"> </w:t>
      </w:r>
      <w:r w:rsidR="001B52B3">
        <w:t>diverse people</w:t>
      </w:r>
      <w:r w:rsidR="002D25CD">
        <w:t xml:space="preserve"> to interact equitably and actualize the diversity-related virtues above.</w:t>
      </w:r>
    </w:p>
    <w:p w:rsidR="00721813" w:rsidRPr="008B215E" w:rsidRDefault="00721813" w:rsidP="009C4BF0"/>
    <w:p w:rsidR="006552B6" w:rsidRDefault="006552B6" w:rsidP="006552B6"/>
    <w:p w:rsidR="006552B6" w:rsidRPr="006552B6" w:rsidRDefault="006552B6" w:rsidP="006552B6"/>
    <w:p w:rsidR="00DD251F" w:rsidRDefault="00DD251F" w:rsidP="00DD251F"/>
    <w:p w:rsidR="00DD251F" w:rsidRPr="00DD251F" w:rsidRDefault="00DD251F" w:rsidP="00DD251F">
      <w:pPr>
        <w:rPr>
          <w:u w:val="single"/>
        </w:rPr>
      </w:pPr>
    </w:p>
    <w:sectPr w:rsidR="00DD251F" w:rsidRPr="00DD2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0D8"/>
    <w:multiLevelType w:val="hybridMultilevel"/>
    <w:tmpl w:val="21FAF7CA"/>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600F"/>
    <w:multiLevelType w:val="hybridMultilevel"/>
    <w:tmpl w:val="CBD2C838"/>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7188E"/>
    <w:multiLevelType w:val="hybridMultilevel"/>
    <w:tmpl w:val="AB6E2D2E"/>
    <w:lvl w:ilvl="0" w:tplc="F1E0D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86BB6"/>
    <w:multiLevelType w:val="hybridMultilevel"/>
    <w:tmpl w:val="04D853BC"/>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11F1"/>
    <w:multiLevelType w:val="hybridMultilevel"/>
    <w:tmpl w:val="F942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1B93"/>
    <w:multiLevelType w:val="hybridMultilevel"/>
    <w:tmpl w:val="CDAAA312"/>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1F96"/>
    <w:multiLevelType w:val="hybridMultilevel"/>
    <w:tmpl w:val="F0B2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87A65"/>
    <w:multiLevelType w:val="hybridMultilevel"/>
    <w:tmpl w:val="A1A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F2EC2"/>
    <w:multiLevelType w:val="hybridMultilevel"/>
    <w:tmpl w:val="F3B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F1176"/>
    <w:multiLevelType w:val="hybridMultilevel"/>
    <w:tmpl w:val="0478C5EC"/>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6FA6"/>
    <w:multiLevelType w:val="hybridMultilevel"/>
    <w:tmpl w:val="F902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A1925"/>
    <w:multiLevelType w:val="hybridMultilevel"/>
    <w:tmpl w:val="95EE3E00"/>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54D6C"/>
    <w:multiLevelType w:val="hybridMultilevel"/>
    <w:tmpl w:val="E35CEC1A"/>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3266C"/>
    <w:multiLevelType w:val="hybridMultilevel"/>
    <w:tmpl w:val="6D3AC4A6"/>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A1635"/>
    <w:multiLevelType w:val="hybridMultilevel"/>
    <w:tmpl w:val="49C09FA8"/>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832C9"/>
    <w:multiLevelType w:val="hybridMultilevel"/>
    <w:tmpl w:val="00B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B7EE2"/>
    <w:multiLevelType w:val="hybridMultilevel"/>
    <w:tmpl w:val="FF3097CE"/>
    <w:lvl w:ilvl="0" w:tplc="40E01C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14350"/>
    <w:multiLevelType w:val="hybridMultilevel"/>
    <w:tmpl w:val="1090A4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8" w15:restartNumberingAfterBreak="0">
    <w:nsid w:val="7D267E20"/>
    <w:multiLevelType w:val="hybridMultilevel"/>
    <w:tmpl w:val="C6181542"/>
    <w:lvl w:ilvl="0" w:tplc="40E01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11"/>
  </w:num>
  <w:num w:numId="5">
    <w:abstractNumId w:val="1"/>
  </w:num>
  <w:num w:numId="6">
    <w:abstractNumId w:val="14"/>
  </w:num>
  <w:num w:numId="7">
    <w:abstractNumId w:val="3"/>
  </w:num>
  <w:num w:numId="8">
    <w:abstractNumId w:val="9"/>
  </w:num>
  <w:num w:numId="9">
    <w:abstractNumId w:val="12"/>
  </w:num>
  <w:num w:numId="10">
    <w:abstractNumId w:val="13"/>
  </w:num>
  <w:num w:numId="11">
    <w:abstractNumId w:val="18"/>
  </w:num>
  <w:num w:numId="12">
    <w:abstractNumId w:val="10"/>
  </w:num>
  <w:num w:numId="13">
    <w:abstractNumId w:val="15"/>
  </w:num>
  <w:num w:numId="14">
    <w:abstractNumId w:val="4"/>
  </w:num>
  <w:num w:numId="15">
    <w:abstractNumId w:val="6"/>
  </w:num>
  <w:num w:numId="16">
    <w:abstractNumId w:val="2"/>
  </w:num>
  <w:num w:numId="17">
    <w:abstractNumId w:val="7"/>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45"/>
    <w:rsid w:val="00044504"/>
    <w:rsid w:val="00047064"/>
    <w:rsid w:val="000523F5"/>
    <w:rsid w:val="00060845"/>
    <w:rsid w:val="00061719"/>
    <w:rsid w:val="00074CC5"/>
    <w:rsid w:val="000B135C"/>
    <w:rsid w:val="000B613C"/>
    <w:rsid w:val="000F4206"/>
    <w:rsid w:val="0012461D"/>
    <w:rsid w:val="0015094C"/>
    <w:rsid w:val="00156489"/>
    <w:rsid w:val="0016255E"/>
    <w:rsid w:val="001749EE"/>
    <w:rsid w:val="0018244B"/>
    <w:rsid w:val="00193198"/>
    <w:rsid w:val="001A50D0"/>
    <w:rsid w:val="001B52B3"/>
    <w:rsid w:val="001B7E44"/>
    <w:rsid w:val="001C78C7"/>
    <w:rsid w:val="001F4C32"/>
    <w:rsid w:val="00200D6C"/>
    <w:rsid w:val="00205505"/>
    <w:rsid w:val="0021620C"/>
    <w:rsid w:val="00244C5B"/>
    <w:rsid w:val="00260AAB"/>
    <w:rsid w:val="0029551B"/>
    <w:rsid w:val="002A13B5"/>
    <w:rsid w:val="002A6CF2"/>
    <w:rsid w:val="002C056C"/>
    <w:rsid w:val="002C3BEC"/>
    <w:rsid w:val="002D25CD"/>
    <w:rsid w:val="002D7A08"/>
    <w:rsid w:val="002F12E3"/>
    <w:rsid w:val="002F6055"/>
    <w:rsid w:val="00323D80"/>
    <w:rsid w:val="0034284F"/>
    <w:rsid w:val="003501A3"/>
    <w:rsid w:val="0035692F"/>
    <w:rsid w:val="003655BF"/>
    <w:rsid w:val="003904F2"/>
    <w:rsid w:val="003E456F"/>
    <w:rsid w:val="00407C8E"/>
    <w:rsid w:val="00433A96"/>
    <w:rsid w:val="004556D6"/>
    <w:rsid w:val="004912E6"/>
    <w:rsid w:val="004C0647"/>
    <w:rsid w:val="004E031A"/>
    <w:rsid w:val="004E1A59"/>
    <w:rsid w:val="004E4DDD"/>
    <w:rsid w:val="004F1E9D"/>
    <w:rsid w:val="005035AD"/>
    <w:rsid w:val="005134E9"/>
    <w:rsid w:val="005326AF"/>
    <w:rsid w:val="0055658E"/>
    <w:rsid w:val="00574D5D"/>
    <w:rsid w:val="00584C3E"/>
    <w:rsid w:val="005B62C7"/>
    <w:rsid w:val="00601A7C"/>
    <w:rsid w:val="006552B6"/>
    <w:rsid w:val="00674561"/>
    <w:rsid w:val="006A3C4F"/>
    <w:rsid w:val="00702759"/>
    <w:rsid w:val="00714C19"/>
    <w:rsid w:val="00721813"/>
    <w:rsid w:val="00725B2E"/>
    <w:rsid w:val="007260FD"/>
    <w:rsid w:val="0075306F"/>
    <w:rsid w:val="00753D64"/>
    <w:rsid w:val="007544DB"/>
    <w:rsid w:val="00763079"/>
    <w:rsid w:val="00795D0E"/>
    <w:rsid w:val="007B0C76"/>
    <w:rsid w:val="00847432"/>
    <w:rsid w:val="008541A9"/>
    <w:rsid w:val="00870463"/>
    <w:rsid w:val="0088045E"/>
    <w:rsid w:val="008A56E4"/>
    <w:rsid w:val="008B215E"/>
    <w:rsid w:val="008B6E30"/>
    <w:rsid w:val="00944CB8"/>
    <w:rsid w:val="00987835"/>
    <w:rsid w:val="0099617E"/>
    <w:rsid w:val="009C1228"/>
    <w:rsid w:val="009C263A"/>
    <w:rsid w:val="009C4BF0"/>
    <w:rsid w:val="009D5F54"/>
    <w:rsid w:val="00A27665"/>
    <w:rsid w:val="00A33C0C"/>
    <w:rsid w:val="00A63616"/>
    <w:rsid w:val="00AA6E17"/>
    <w:rsid w:val="00AB7110"/>
    <w:rsid w:val="00AD07D0"/>
    <w:rsid w:val="00AE3DF4"/>
    <w:rsid w:val="00B022D0"/>
    <w:rsid w:val="00B26CEB"/>
    <w:rsid w:val="00B329A6"/>
    <w:rsid w:val="00B71B70"/>
    <w:rsid w:val="00B80D1E"/>
    <w:rsid w:val="00B90C0A"/>
    <w:rsid w:val="00B93CA3"/>
    <w:rsid w:val="00B950A6"/>
    <w:rsid w:val="00BC5B66"/>
    <w:rsid w:val="00C02B7D"/>
    <w:rsid w:val="00C15C4A"/>
    <w:rsid w:val="00C23292"/>
    <w:rsid w:val="00C3420E"/>
    <w:rsid w:val="00C60D83"/>
    <w:rsid w:val="00C74FAE"/>
    <w:rsid w:val="00CD4F34"/>
    <w:rsid w:val="00CF4CDF"/>
    <w:rsid w:val="00D03A8D"/>
    <w:rsid w:val="00D11FB2"/>
    <w:rsid w:val="00D16687"/>
    <w:rsid w:val="00D172C4"/>
    <w:rsid w:val="00D21D90"/>
    <w:rsid w:val="00D7032B"/>
    <w:rsid w:val="00D877CC"/>
    <w:rsid w:val="00DD251F"/>
    <w:rsid w:val="00E04F13"/>
    <w:rsid w:val="00E176E6"/>
    <w:rsid w:val="00E47962"/>
    <w:rsid w:val="00E84378"/>
    <w:rsid w:val="00EB2D8C"/>
    <w:rsid w:val="00EB5160"/>
    <w:rsid w:val="00ED5A40"/>
    <w:rsid w:val="00EE08B5"/>
    <w:rsid w:val="00F220D2"/>
    <w:rsid w:val="00F56F79"/>
    <w:rsid w:val="00F70650"/>
    <w:rsid w:val="00F76792"/>
    <w:rsid w:val="00F90A7D"/>
    <w:rsid w:val="00FA1B76"/>
    <w:rsid w:val="00FC0A4B"/>
    <w:rsid w:val="00FE3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2664"/>
  <w15:chartTrackingRefBased/>
  <w15:docId w15:val="{9C021894-DD3C-4F0A-B488-8E403766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Nirmala U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32"/>
    <w:pPr>
      <w:ind w:left="720"/>
      <w:contextualSpacing/>
    </w:pPr>
  </w:style>
  <w:style w:type="table" w:styleId="TableGrid">
    <w:name w:val="Table Grid"/>
    <w:basedOn w:val="TableNormal"/>
    <w:uiPriority w:val="39"/>
    <w:rsid w:val="002C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CF2"/>
    <w:rPr>
      <w:color w:val="0563C1" w:themeColor="hyperlink"/>
      <w:u w:val="single"/>
    </w:rPr>
  </w:style>
  <w:style w:type="character" w:styleId="FollowedHyperlink">
    <w:name w:val="FollowedHyperlink"/>
    <w:basedOn w:val="DefaultParagraphFont"/>
    <w:uiPriority w:val="99"/>
    <w:semiHidden/>
    <w:unhideWhenUsed/>
    <w:rsid w:val="00513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4699">
      <w:bodyDiv w:val="1"/>
      <w:marLeft w:val="0"/>
      <w:marRight w:val="0"/>
      <w:marTop w:val="0"/>
      <w:marBottom w:val="0"/>
      <w:divBdr>
        <w:top w:val="none" w:sz="0" w:space="0" w:color="auto"/>
        <w:left w:val="none" w:sz="0" w:space="0" w:color="auto"/>
        <w:bottom w:val="none" w:sz="0" w:space="0" w:color="auto"/>
        <w:right w:val="none" w:sz="0" w:space="0" w:color="auto"/>
      </w:divBdr>
    </w:div>
    <w:div w:id="11907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2151331_Adults_and_Children_Implicitly_Associate_Brilliance_with_Men_More_Than_Women" TargetMode="External"/><Relationship Id="rId3" Type="http://schemas.openxmlformats.org/officeDocument/2006/relationships/settings" Target="settings.xml"/><Relationship Id="rId7" Type="http://schemas.openxmlformats.org/officeDocument/2006/relationships/hyperlink" Target="https://ethz.ch/content/dam/ethz/special-interest/gess/nadel-dam/documents/NADEL_DEC%20Code%20of%20Conduct_Format_20220324%20(1).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z.ch/content/dam/ethz/special-interest/gess/department-dam/D-GESS%20DAM%20General/Dokumente/wide/Establishing%20a%20Good%20Relationship%20for%20your%20PhD.docx" TargetMode="External"/><Relationship Id="rId11" Type="http://schemas.openxmlformats.org/officeDocument/2006/relationships/theme" Target="theme/theme1.xml"/><Relationship Id="rId5" Type="http://schemas.openxmlformats.org/officeDocument/2006/relationships/hyperlink" Target="https://gess.ethz.ch/en/the-department/WID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dukeupress.edu/demography/article/51/5/1619/169399/Rethinking-the-Two-Body-Problem-The-Segregation-of?casa_token=UCIdckNcZIgAAAAA:6UaHQrhNuQ7aZLEUbyRT70YsxDOAUzTi1ImQbV9XRBNc80Qlh40lhn5iWHW2jTtmeBrVY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Roy</dc:creator>
  <cp:keywords/>
  <dc:description/>
  <cp:lastModifiedBy>Wagner  Roy</cp:lastModifiedBy>
  <cp:revision>3</cp:revision>
  <dcterms:created xsi:type="dcterms:W3CDTF">2022-06-07T09:45:00Z</dcterms:created>
  <dcterms:modified xsi:type="dcterms:W3CDTF">2022-06-07T09:46:00Z</dcterms:modified>
</cp:coreProperties>
</file>